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0A" w:rsidRPr="00C328D0" w:rsidRDefault="00EA7A0A" w:rsidP="004B5EE2">
      <w:pPr>
        <w:spacing w:line="36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>PROGRAM KSZTAŁCENIA</w:t>
      </w:r>
    </w:p>
    <w:p w:rsidR="00EA7A0A" w:rsidRPr="00C328D0" w:rsidRDefault="00EA7A0A" w:rsidP="004B5EE2">
      <w:pPr>
        <w:spacing w:line="36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284711">
        <w:rPr>
          <w:rFonts w:ascii="Times New Roman" w:hAnsi="Times New Roman" w:cs="Times New Roman"/>
          <w:sz w:val="24"/>
          <w:szCs w:val="24"/>
        </w:rPr>
        <w:t xml:space="preserve">STUDIÓW </w:t>
      </w:r>
      <w:r w:rsidR="007B48DA">
        <w:rPr>
          <w:rFonts w:ascii="Times New Roman" w:hAnsi="Times New Roman" w:cs="Times New Roman"/>
          <w:sz w:val="24"/>
          <w:szCs w:val="24"/>
        </w:rPr>
        <w:t>PIELĘGNIARSTWO</w:t>
      </w:r>
    </w:p>
    <w:p w:rsidR="005B192D" w:rsidRPr="00C328D0" w:rsidRDefault="00EA7A0A" w:rsidP="004B5EE2">
      <w:pPr>
        <w:spacing w:line="36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>W ROKU AKADEMICKIM 2018/2019</w:t>
      </w:r>
    </w:p>
    <w:p w:rsidR="00EA7A0A" w:rsidRPr="007B4C64" w:rsidRDefault="00EA7A0A" w:rsidP="004B5EE2">
      <w:pPr>
        <w:spacing w:line="360" w:lineRule="auto"/>
        <w:ind w:left="851" w:hanging="511"/>
        <w:rPr>
          <w:rFonts w:ascii="Times New Roman" w:hAnsi="Times New Roman" w:cs="Times New Roman"/>
          <w:b/>
          <w:sz w:val="24"/>
          <w:szCs w:val="24"/>
        </w:rPr>
      </w:pPr>
      <w:r w:rsidRPr="007B4C64">
        <w:rPr>
          <w:rFonts w:ascii="Times New Roman" w:hAnsi="Times New Roman" w:cs="Times New Roman"/>
          <w:b/>
          <w:sz w:val="24"/>
          <w:szCs w:val="24"/>
        </w:rPr>
        <w:t>Ogólna charakterystyka studiów:</w:t>
      </w:r>
    </w:p>
    <w:p w:rsidR="00EA7A0A" w:rsidRPr="00C328D0" w:rsidRDefault="00EA7A0A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993"/>
          <w:tab w:val="left" w:pos="1418"/>
        </w:tabs>
        <w:spacing w:line="360" w:lineRule="auto"/>
        <w:ind w:left="567" w:right="340" w:hanging="425"/>
        <w:jc w:val="both"/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Nazwa szkoły wyższej: 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Collegium </w:t>
      </w:r>
      <w:proofErr w:type="spellStart"/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Mazovia</w:t>
      </w:r>
      <w:proofErr w:type="spellEnd"/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Innowacyjna </w:t>
      </w:r>
      <w:r w:rsidR="00B53A93"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Szkoła Wyższa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</w:t>
      </w:r>
    </w:p>
    <w:p w:rsidR="00EA7A0A" w:rsidRPr="00C328D0" w:rsidRDefault="007973AC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>Nazwa w</w:t>
      </w:r>
      <w:r w:rsidR="00EA7A0A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>ydział</w:t>
      </w:r>
      <w:r w:rsidR="00201EAF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u: </w:t>
      </w:r>
      <w:r w:rsidR="00201EAF" w:rsidRPr="00C328D0">
        <w:rPr>
          <w:rStyle w:val="Pogrubienie"/>
          <w:rFonts w:ascii="Times New Roman" w:hAnsi="Times New Roman"/>
          <w:bCs/>
          <w:sz w:val="24"/>
          <w:szCs w:val="24"/>
        </w:rPr>
        <w:t>Wydział</w:t>
      </w:r>
      <w:r w:rsidR="00201EAF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</w:t>
      </w:r>
      <w:r w:rsidR="00EA7A0A"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Nauk </w:t>
      </w:r>
      <w:r w:rsidR="007B48DA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o Zdrowiu</w:t>
      </w:r>
    </w:p>
    <w:p w:rsidR="00EA7A0A" w:rsidRPr="00C328D0" w:rsidRDefault="00EA7A0A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Kierunek </w:t>
      </w:r>
      <w:proofErr w:type="gramStart"/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studiów: </w:t>
      </w:r>
      <w:r w:rsidR="007B48DA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PIELĘGNIARSTWO</w:t>
      </w:r>
      <w:proofErr w:type="gramEnd"/>
    </w:p>
    <w:p w:rsidR="00EA7A0A" w:rsidRPr="00C328D0" w:rsidRDefault="00EA7A0A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>Poziom ksz</w:t>
      </w:r>
      <w:r w:rsidR="00201EAF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tałcenia: 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Studia I</w:t>
      </w:r>
      <w:r w:rsidR="007B48DA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I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stopnia</w:t>
      </w:r>
    </w:p>
    <w:p w:rsidR="00EA7A0A" w:rsidRPr="00C328D0" w:rsidRDefault="00EA7A0A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>Profil kształ</w:t>
      </w:r>
      <w:r w:rsidR="00201EAF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cenia: 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praktyczny</w:t>
      </w:r>
    </w:p>
    <w:p w:rsidR="00EA7A0A" w:rsidRPr="00C328D0" w:rsidRDefault="00201EAF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Forma prowadzenia studiów: </w:t>
      </w:r>
      <w:r w:rsidR="00EA7A0A"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studia niestacjonarne</w:t>
      </w:r>
      <w:r w:rsidR="00EA7A0A" w:rsidRPr="00C328D0"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 </w:t>
      </w:r>
    </w:p>
    <w:p w:rsidR="00201EAF" w:rsidRPr="00C328D0" w:rsidRDefault="00201EAF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>Liczba semestrów: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</w:t>
      </w:r>
      <w:r w:rsidR="007B48DA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4</w:t>
      </w:r>
      <w:r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semestrów</w:t>
      </w:r>
      <w:r w:rsidR="006D2FD0" w:rsidRPr="00C328D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po 30 punktów ECTS</w:t>
      </w:r>
    </w:p>
    <w:p w:rsidR="00201EAF" w:rsidRPr="00C328D0" w:rsidRDefault="00201EAF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Liczba punktów ECTS konieczna do ukończenia studiów na danym </w:t>
      </w:r>
      <w:r w:rsidR="00177631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poziomie: </w:t>
      </w:r>
      <w:r w:rsidR="007B48DA">
        <w:rPr>
          <w:rStyle w:val="Pogrubienie"/>
          <w:rFonts w:ascii="Times New Roman" w:hAnsi="Times New Roman"/>
          <w:bCs/>
          <w:sz w:val="24"/>
          <w:szCs w:val="24"/>
        </w:rPr>
        <w:t xml:space="preserve"> </w:t>
      </w:r>
      <w:r w:rsidR="00EF6280">
        <w:rPr>
          <w:rStyle w:val="Pogrubienie"/>
          <w:rFonts w:ascii="Times New Roman" w:hAnsi="Times New Roman"/>
          <w:bCs/>
          <w:sz w:val="24"/>
          <w:szCs w:val="24"/>
        </w:rPr>
        <w:t>120</w:t>
      </w:r>
      <w:r w:rsidR="00177631"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EA7A0A" w:rsidRPr="00C328D0" w:rsidRDefault="00F6170A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  <w:tab w:val="left" w:pos="2625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Tytuł zawodowy absolwenta: </w:t>
      </w:r>
      <w:r w:rsidR="007B48DA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magister pielęgniarstwa</w:t>
      </w:r>
    </w:p>
    <w:p w:rsidR="004140C5" w:rsidRDefault="0076138C" w:rsidP="004140C5">
      <w:pPr>
        <w:pStyle w:val="Akapitzlist"/>
        <w:numPr>
          <w:ilvl w:val="0"/>
          <w:numId w:val="1"/>
        </w:numPr>
        <w:tabs>
          <w:tab w:val="left" w:pos="567"/>
          <w:tab w:val="left" w:pos="1418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C328D0">
        <w:rPr>
          <w:rStyle w:val="Uwydatnienie"/>
          <w:rFonts w:ascii="Times New Roman" w:hAnsi="Times New Roman"/>
          <w:i w:val="0"/>
          <w:iCs/>
          <w:sz w:val="24"/>
          <w:szCs w:val="24"/>
        </w:rPr>
        <w:t>Łączna liczba godzin przewidziana w planie studiów:</w:t>
      </w:r>
      <w:r w:rsidR="00C2247C"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 ogólna liczba godzin</w:t>
      </w:r>
      <w:r w:rsidRPr="00C328D0"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 </w:t>
      </w:r>
      <w:r w:rsidR="00EF6280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3000</w:t>
      </w:r>
      <w:r w:rsidR="00E65051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</w:t>
      </w:r>
      <w:r w:rsidR="00E65051" w:rsidRPr="00E65051">
        <w:rPr>
          <w:rStyle w:val="Uwydatnienie"/>
          <w:rFonts w:ascii="Times New Roman" w:hAnsi="Times New Roman"/>
          <w:i w:val="0"/>
          <w:iCs/>
          <w:sz w:val="24"/>
          <w:szCs w:val="24"/>
        </w:rPr>
        <w:t>godzin</w:t>
      </w:r>
      <w:r w:rsidR="00E65051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, </w:t>
      </w:r>
      <w:r w:rsidR="00C2247C" w:rsidRPr="00E65051">
        <w:rPr>
          <w:rStyle w:val="Uwydatnienie"/>
          <w:rFonts w:ascii="Times New Roman" w:hAnsi="Times New Roman"/>
          <w:i w:val="0"/>
          <w:iCs/>
          <w:sz w:val="24"/>
          <w:szCs w:val="24"/>
        </w:rPr>
        <w:t>w</w:t>
      </w:r>
      <w:r w:rsidR="00C2247C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</w:t>
      </w:r>
      <w:r w:rsidR="00C2247C" w:rsidRPr="00E65051">
        <w:rPr>
          <w:rStyle w:val="Uwydatnienie"/>
          <w:rFonts w:ascii="Times New Roman" w:hAnsi="Times New Roman"/>
          <w:i w:val="0"/>
          <w:iCs/>
          <w:sz w:val="24"/>
          <w:szCs w:val="24"/>
        </w:rPr>
        <w:t>tym zajęć kontaktowych:</w:t>
      </w:r>
      <w:r w:rsidR="00E3421F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</w:t>
      </w:r>
      <w:r w:rsidR="00995256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>1300</w:t>
      </w:r>
      <w:r w:rsidR="00E3421F">
        <w:rPr>
          <w:rStyle w:val="Uwydatnienie"/>
          <w:rFonts w:ascii="Times New Roman" w:hAnsi="Times New Roman"/>
          <w:b/>
          <w:i w:val="0"/>
          <w:iCs/>
          <w:sz w:val="24"/>
          <w:szCs w:val="24"/>
        </w:rPr>
        <w:t xml:space="preserve"> </w:t>
      </w:r>
      <w:r w:rsidR="00E3421F" w:rsidRPr="00E65051">
        <w:rPr>
          <w:rStyle w:val="Uwydatnienie"/>
          <w:rFonts w:ascii="Times New Roman" w:hAnsi="Times New Roman"/>
          <w:i w:val="0"/>
          <w:iCs/>
          <w:sz w:val="24"/>
          <w:szCs w:val="24"/>
        </w:rPr>
        <w:t>godzin</w:t>
      </w:r>
      <w:bookmarkStart w:id="0" w:name="_GoBack"/>
      <w:bookmarkEnd w:id="0"/>
    </w:p>
    <w:p w:rsidR="00C6624A" w:rsidRPr="004140C5" w:rsidRDefault="004140C5" w:rsidP="004140C5">
      <w:pPr>
        <w:pStyle w:val="Akapitzlist"/>
        <w:numPr>
          <w:ilvl w:val="0"/>
          <w:numId w:val="1"/>
        </w:numPr>
        <w:tabs>
          <w:tab w:val="left" w:pos="567"/>
          <w:tab w:val="left" w:pos="1418"/>
        </w:tabs>
        <w:spacing w:line="360" w:lineRule="auto"/>
        <w:ind w:left="567" w:hanging="425"/>
        <w:jc w:val="both"/>
        <w:rPr>
          <w:rStyle w:val="Uwydatnienie"/>
          <w:rFonts w:ascii="Times New Roman" w:hAnsi="Times New Roman"/>
          <w:i w:val="0"/>
          <w:iCs/>
          <w:sz w:val="24"/>
          <w:szCs w:val="24"/>
        </w:rPr>
      </w:pPr>
      <w:r w:rsidRPr="004140C5">
        <w:rPr>
          <w:rStyle w:val="Uwydatnienie"/>
          <w:rFonts w:ascii="Times New Roman" w:hAnsi="Times New Roman"/>
          <w:i w:val="0"/>
          <w:iCs/>
          <w:sz w:val="24"/>
          <w:szCs w:val="24"/>
        </w:rPr>
        <w:t xml:space="preserve"> </w:t>
      </w:r>
      <w:r w:rsidRPr="004140C5">
        <w:rPr>
          <w:rFonts w:ascii="Times New Roman" w:hAnsi="Times New Roman" w:cs="Times New Roman"/>
          <w:b/>
          <w:iCs/>
          <w:sz w:val="24"/>
          <w:szCs w:val="24"/>
        </w:rPr>
        <w:t xml:space="preserve">Pielęgniarstwo </w:t>
      </w:r>
      <w:r w:rsidRPr="004140C5">
        <w:rPr>
          <w:rFonts w:ascii="Times New Roman" w:hAnsi="Times New Roman" w:cs="Times New Roman"/>
          <w:sz w:val="24"/>
          <w:szCs w:val="24"/>
        </w:rPr>
        <w:t xml:space="preserve">mieści się w obszarze kształcenia z zakresu nauk medycznych, nauk </w:t>
      </w:r>
      <w:r w:rsidRPr="004140C5">
        <w:rPr>
          <w:rFonts w:ascii="Times New Roman" w:hAnsi="Times New Roman" w:cs="Times New Roman"/>
          <w:sz w:val="24"/>
          <w:szCs w:val="24"/>
        </w:rPr>
        <w:br/>
        <w:t xml:space="preserve">o zdrowiu oraz nauk o kulturze fizycznej. Studia drugiego stopnia na kierunku </w:t>
      </w:r>
      <w:r w:rsidRPr="004140C5">
        <w:rPr>
          <w:rFonts w:ascii="Times New Roman" w:hAnsi="Times New Roman" w:cs="Times New Roman"/>
          <w:iCs/>
          <w:sz w:val="24"/>
          <w:szCs w:val="24"/>
        </w:rPr>
        <w:t>pielęgniarstwo</w:t>
      </w:r>
      <w:r w:rsidRPr="004140C5">
        <w:rPr>
          <w:rFonts w:ascii="Times New Roman" w:hAnsi="Times New Roman" w:cs="Times New Roman"/>
          <w:sz w:val="24"/>
          <w:szCs w:val="24"/>
        </w:rPr>
        <w:t xml:space="preserve"> dostarczają szerokiej wiedzy z zakresu pielęgniarstwa; ogólnej wiedzy z zakresu nauk medycznych;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0C5">
        <w:rPr>
          <w:rFonts w:ascii="Times New Roman" w:hAnsi="Times New Roman" w:cs="Times New Roman"/>
          <w:sz w:val="24"/>
          <w:szCs w:val="24"/>
        </w:rPr>
        <w:t>znajomości regulacji prawnych, norm etycznych i deontologii odnoszących się do wykonywania zawodu pielęgniarki.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0C5">
        <w:rPr>
          <w:rFonts w:ascii="Times New Roman" w:hAnsi="Times New Roman" w:cs="Times New Roman"/>
          <w:sz w:val="24"/>
          <w:szCs w:val="24"/>
        </w:rPr>
        <w:t>Studia drugiego stopnia rozwijają umiejętność: korzystania z aktualnej wiedzy dla zapewnienia bezpieczeństwa i wysokiego poziomu opieki; udzielania świadczeń w zakresie promowania, zachowania zdrowia i zapobiegania chorobom; sprawowania całościowej, zindywidualizowanej opieki nad pacjentem niepełnosprawnym i umierającym; samodzielnego wykonywania zawodu zgodnie z zasadami etyki ogólnej i etyki zawodowej oraz holistycznego podejścia do pacjenta; organizowania pracy własnej, nawiązywania współpracy w zespołach opieki zdrowotnej oraz inicjowania i wspierania działania społeczności lokalnej na rzecz zdrowia.</w:t>
      </w:r>
    </w:p>
    <w:p w:rsidR="00D16FEB" w:rsidRPr="00C328D0" w:rsidRDefault="00D16FEB" w:rsidP="00F673AD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 xml:space="preserve">Praktyki </w:t>
      </w:r>
      <w:r w:rsidR="00C6624A">
        <w:rPr>
          <w:rFonts w:ascii="Times New Roman" w:hAnsi="Times New Roman" w:cs="Times New Roman"/>
          <w:sz w:val="24"/>
          <w:szCs w:val="24"/>
        </w:rPr>
        <w:t xml:space="preserve">zawodowe </w:t>
      </w:r>
      <w:r w:rsidRPr="00C328D0">
        <w:rPr>
          <w:rFonts w:ascii="Times New Roman" w:hAnsi="Times New Roman" w:cs="Times New Roman"/>
          <w:sz w:val="24"/>
          <w:szCs w:val="24"/>
        </w:rPr>
        <w:t>stanowią integralną część procesu kształcenia i przygotowania do pracy zawodowej.</w:t>
      </w:r>
      <w:r w:rsidR="00A23B4B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Pr="00C328D0">
        <w:rPr>
          <w:rFonts w:ascii="Times New Roman" w:hAnsi="Times New Roman" w:cs="Times New Roman"/>
          <w:sz w:val="24"/>
          <w:szCs w:val="24"/>
        </w:rPr>
        <w:t>Praktyki są obowiązkowe i podlegają zaliczeniu z przypisaniem punktów ECTS. Rodzaj i czas trwania praktyk oraz rok studiów, na którym są one rea</w:t>
      </w:r>
      <w:r w:rsidR="0099103F">
        <w:rPr>
          <w:rFonts w:ascii="Times New Roman" w:hAnsi="Times New Roman" w:cs="Times New Roman"/>
          <w:sz w:val="24"/>
          <w:szCs w:val="24"/>
        </w:rPr>
        <w:t xml:space="preserve">lizowane określa plan </w:t>
      </w:r>
      <w:r w:rsidR="00B53A93">
        <w:rPr>
          <w:rFonts w:ascii="Times New Roman" w:hAnsi="Times New Roman" w:cs="Times New Roman"/>
          <w:sz w:val="24"/>
          <w:szCs w:val="24"/>
        </w:rPr>
        <w:t xml:space="preserve">studiów </w:t>
      </w:r>
      <w:r w:rsidR="00B53A93" w:rsidRPr="00C328D0">
        <w:rPr>
          <w:rFonts w:ascii="Times New Roman" w:hAnsi="Times New Roman" w:cs="Times New Roman"/>
          <w:sz w:val="24"/>
          <w:szCs w:val="24"/>
        </w:rPr>
        <w:t>dla</w:t>
      </w:r>
      <w:r w:rsidRPr="00C328D0">
        <w:rPr>
          <w:rFonts w:ascii="Times New Roman" w:hAnsi="Times New Roman" w:cs="Times New Roman"/>
          <w:sz w:val="24"/>
          <w:szCs w:val="24"/>
        </w:rPr>
        <w:t xml:space="preserve"> kierunku </w:t>
      </w:r>
      <w:r w:rsidR="00161C52">
        <w:rPr>
          <w:rFonts w:ascii="Times New Roman" w:hAnsi="Times New Roman" w:cs="Times New Roman"/>
          <w:sz w:val="24"/>
          <w:szCs w:val="24"/>
        </w:rPr>
        <w:t>pielęgniarstwo</w:t>
      </w:r>
      <w:r w:rsidRPr="00C328D0">
        <w:rPr>
          <w:rFonts w:ascii="Times New Roman" w:hAnsi="Times New Roman" w:cs="Times New Roman"/>
          <w:sz w:val="24"/>
          <w:szCs w:val="24"/>
        </w:rPr>
        <w:t>.</w:t>
      </w:r>
      <w:r w:rsidR="00A23B4B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Pr="00C328D0">
        <w:rPr>
          <w:rFonts w:ascii="Times New Roman" w:hAnsi="Times New Roman" w:cs="Times New Roman"/>
          <w:sz w:val="24"/>
          <w:szCs w:val="24"/>
        </w:rPr>
        <w:t xml:space="preserve">Praktyki mogą być </w:t>
      </w:r>
      <w:r w:rsidRPr="00C328D0">
        <w:rPr>
          <w:rFonts w:ascii="Times New Roman" w:hAnsi="Times New Roman" w:cs="Times New Roman"/>
          <w:sz w:val="24"/>
          <w:szCs w:val="24"/>
        </w:rPr>
        <w:lastRenderedPageBreak/>
        <w:t>realizowane w krajowych lub zagranicznych jednostkach</w:t>
      </w:r>
      <w:r w:rsidR="00C6624A">
        <w:rPr>
          <w:rFonts w:ascii="Times New Roman" w:hAnsi="Times New Roman" w:cs="Times New Roman"/>
          <w:sz w:val="24"/>
          <w:szCs w:val="24"/>
        </w:rPr>
        <w:t xml:space="preserve"> organizacyjnych</w:t>
      </w:r>
      <w:r w:rsidRPr="00C328D0">
        <w:rPr>
          <w:rFonts w:ascii="Times New Roman" w:hAnsi="Times New Roman" w:cs="Times New Roman"/>
          <w:sz w:val="24"/>
          <w:szCs w:val="24"/>
        </w:rPr>
        <w:t>, których zakres działania związany jest z kierunkiem studiów.</w:t>
      </w:r>
    </w:p>
    <w:p w:rsidR="00AF3478" w:rsidRDefault="000A683B" w:rsidP="00AF3478">
      <w:pPr>
        <w:tabs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FEB" w:rsidRPr="00C328D0">
        <w:rPr>
          <w:rFonts w:ascii="Times New Roman" w:hAnsi="Times New Roman" w:cs="Times New Roman"/>
          <w:sz w:val="24"/>
          <w:szCs w:val="24"/>
        </w:rPr>
        <w:t xml:space="preserve">Praktyki umożliwiają uzyskanie założonych efektów kształcenia zgodnych z profilem praktycznym i realizowane </w:t>
      </w:r>
      <w:proofErr w:type="gramStart"/>
      <w:r w:rsidR="00D16FEB" w:rsidRPr="00C328D0">
        <w:rPr>
          <w:rFonts w:ascii="Times New Roman" w:hAnsi="Times New Roman" w:cs="Times New Roman"/>
          <w:sz w:val="24"/>
          <w:szCs w:val="24"/>
        </w:rPr>
        <w:t>są jak</w:t>
      </w:r>
      <w:r w:rsidR="00C6624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C6624A">
        <w:rPr>
          <w:rFonts w:ascii="Times New Roman" w:hAnsi="Times New Roman" w:cs="Times New Roman"/>
          <w:sz w:val="24"/>
          <w:szCs w:val="24"/>
        </w:rPr>
        <w:t xml:space="preserve"> praktyki zawodowe kierunkowe. </w:t>
      </w:r>
      <w:r w:rsidR="00D16FEB" w:rsidRPr="00C328D0">
        <w:rPr>
          <w:rFonts w:ascii="Times New Roman" w:hAnsi="Times New Roman" w:cs="Times New Roman"/>
          <w:sz w:val="24"/>
          <w:szCs w:val="24"/>
        </w:rPr>
        <w:t xml:space="preserve">Ogólne zasady odbywania praktyki określone są w Regulaminie </w:t>
      </w:r>
      <w:r w:rsidR="00A23B4B" w:rsidRPr="00C328D0">
        <w:rPr>
          <w:rFonts w:ascii="Times New Roman" w:hAnsi="Times New Roman" w:cs="Times New Roman"/>
          <w:sz w:val="24"/>
          <w:szCs w:val="24"/>
        </w:rPr>
        <w:t>praktyk zawodowych</w:t>
      </w:r>
      <w:r w:rsidR="00D16FEB" w:rsidRPr="00C328D0">
        <w:rPr>
          <w:rFonts w:ascii="Times New Roman" w:hAnsi="Times New Roman" w:cs="Times New Roman"/>
          <w:sz w:val="24"/>
          <w:szCs w:val="24"/>
        </w:rPr>
        <w:t xml:space="preserve">. Nadzór nad organizacją i przebiegiem praktyk zawodowych sprawuje Kierownik </w:t>
      </w:r>
      <w:r w:rsidR="00A23B4B" w:rsidRPr="00C328D0">
        <w:rPr>
          <w:rFonts w:ascii="Times New Roman" w:hAnsi="Times New Roman" w:cs="Times New Roman"/>
          <w:sz w:val="24"/>
          <w:szCs w:val="24"/>
        </w:rPr>
        <w:t>praktyk.</w:t>
      </w:r>
      <w:r w:rsidR="00F417AD">
        <w:rPr>
          <w:rFonts w:ascii="Times New Roman" w:hAnsi="Times New Roman" w:cs="Times New Roman"/>
          <w:sz w:val="24"/>
          <w:szCs w:val="24"/>
        </w:rPr>
        <w:t xml:space="preserve"> </w:t>
      </w:r>
      <w:r w:rsidR="00C6624A">
        <w:rPr>
          <w:rFonts w:ascii="Times New Roman" w:hAnsi="Times New Roman" w:cs="Times New Roman"/>
          <w:sz w:val="24"/>
          <w:szCs w:val="24"/>
        </w:rPr>
        <w:t>Cel i</w:t>
      </w:r>
      <w:r w:rsidR="00D16FEB" w:rsidRPr="00C328D0">
        <w:rPr>
          <w:rFonts w:ascii="Times New Roman" w:hAnsi="Times New Roman" w:cs="Times New Roman"/>
          <w:sz w:val="24"/>
          <w:szCs w:val="24"/>
        </w:rPr>
        <w:t xml:space="preserve"> program praktyk zostały określone </w:t>
      </w:r>
      <w:r w:rsidR="000248A5" w:rsidRPr="00C328D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0248A5" w:rsidRPr="00C328D0">
        <w:rPr>
          <w:rFonts w:ascii="Times New Roman" w:hAnsi="Times New Roman" w:cs="Times New Roman"/>
          <w:sz w:val="24"/>
          <w:szCs w:val="24"/>
        </w:rPr>
        <w:t>syllabus</w:t>
      </w:r>
      <w:r w:rsidR="006F312E">
        <w:rPr>
          <w:rFonts w:ascii="Times New Roman" w:hAnsi="Times New Roman" w:cs="Times New Roman"/>
          <w:sz w:val="24"/>
          <w:szCs w:val="24"/>
        </w:rPr>
        <w:t>ach</w:t>
      </w:r>
      <w:proofErr w:type="spellEnd"/>
      <w:r w:rsidR="00D16FEB" w:rsidRPr="00C328D0">
        <w:rPr>
          <w:rFonts w:ascii="Times New Roman" w:hAnsi="Times New Roman" w:cs="Times New Roman"/>
          <w:sz w:val="24"/>
          <w:szCs w:val="24"/>
        </w:rPr>
        <w:t>.</w:t>
      </w:r>
    </w:p>
    <w:p w:rsidR="00AF3478" w:rsidRPr="00AF3478" w:rsidRDefault="00AF3478" w:rsidP="00AF3478">
      <w:pPr>
        <w:pStyle w:val="Akapitzlist"/>
        <w:numPr>
          <w:ilvl w:val="0"/>
          <w:numId w:val="1"/>
        </w:numPr>
        <w:tabs>
          <w:tab w:val="clear" w:pos="730"/>
          <w:tab w:val="left" w:pos="567"/>
          <w:tab w:val="num" w:pos="709"/>
          <w:tab w:val="left" w:pos="1418"/>
        </w:tabs>
        <w:spacing w:after="0" w:line="360" w:lineRule="auto"/>
        <w:ind w:left="2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3478">
        <w:rPr>
          <w:rFonts w:ascii="Times New Roman" w:hAnsi="Times New Roman" w:cs="Times New Roman"/>
          <w:sz w:val="24"/>
          <w:szCs w:val="24"/>
        </w:rPr>
        <w:t>Absolwent z tytułem magistra pielęgniarstwa będzie przygotowany do pracy w publicznych i niepublicznych podmiotach leczniczych, w administracji państwowej i samorządowej, jak również w szkolnictwie wyższym (nauczanie pielęgniarstwa na poziomie licencjackim i magisterskim). Studia II stopnia (magisterskie) to kształtowanie wśród studentów podstaw metodyki prowadzenia badań naukowych, zarządzania w pielęgniarstwie oraz elementów dydaktyki medycznej. Absolwent ma ukształtowane nawyki ustawicznego kształcenia i rozwoju zawodowego oraz jest przygotowany do podjęcia studiów trzeciego stopnia (doktoranckich) oraz różnych form kształcenia podyplomowego.</w:t>
      </w:r>
    </w:p>
    <w:p w:rsidR="00AF3478" w:rsidRPr="00AF3478" w:rsidRDefault="00AF3478" w:rsidP="00AF3478">
      <w:pPr>
        <w:pStyle w:val="Akapitzlist"/>
        <w:tabs>
          <w:tab w:val="left" w:pos="567"/>
          <w:tab w:val="num" w:pos="709"/>
          <w:tab w:val="left" w:pos="1418"/>
        </w:tabs>
        <w:spacing w:after="0" w:line="360" w:lineRule="auto"/>
        <w:ind w:left="728"/>
        <w:jc w:val="both"/>
        <w:rPr>
          <w:rFonts w:ascii="Times New Roman" w:hAnsi="Times New Roman" w:cs="Times New Roman"/>
          <w:sz w:val="24"/>
          <w:szCs w:val="24"/>
        </w:rPr>
      </w:pPr>
      <w:r w:rsidRPr="00AF3478">
        <w:rPr>
          <w:rFonts w:ascii="Times New Roman" w:hAnsi="Times New Roman" w:cs="Times New Roman"/>
          <w:sz w:val="24"/>
          <w:szCs w:val="24"/>
        </w:rPr>
        <w:t>Według taksonomii celów kształcenia można wskazać na cztery ich kategorie:</w:t>
      </w:r>
    </w:p>
    <w:p w:rsidR="00AF3478" w:rsidRPr="00AF3478" w:rsidRDefault="00AF3478" w:rsidP="00AF347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78">
        <w:rPr>
          <w:rFonts w:ascii="Times New Roman" w:hAnsi="Times New Roman" w:cs="Times New Roman"/>
          <w:sz w:val="24"/>
          <w:szCs w:val="24"/>
        </w:rPr>
        <w:t xml:space="preserve">Zapamiętanie wiadomości – jest to elementarny cel kształcenia a jego realizacja wymaga od studenta umiejętności definiowania pojęć, zasad i teorii naukowych, bez mylenia ich ze sobą i zniekształcania. </w:t>
      </w:r>
    </w:p>
    <w:p w:rsidR="00AF3478" w:rsidRPr="00AF3478" w:rsidRDefault="00AF3478" w:rsidP="00AF347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78">
        <w:rPr>
          <w:rFonts w:ascii="Times New Roman" w:hAnsi="Times New Roman" w:cs="Times New Roman"/>
          <w:sz w:val="24"/>
          <w:szCs w:val="24"/>
        </w:rPr>
        <w:t>Zrozumienie wiadomości – student powinien nie tylko odtworzyć definicje (zasady, teorie), ale także przedstawić je w innej formie, uporządkować i streścić, porównać ze sobą oraz podać przykłady prostego wnioskowania na podstawie posiadanej wiedzy.</w:t>
      </w:r>
    </w:p>
    <w:p w:rsidR="00AF3478" w:rsidRPr="00AF3478" w:rsidRDefault="00AF3478" w:rsidP="00AF347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78">
        <w:rPr>
          <w:rFonts w:ascii="Times New Roman" w:hAnsi="Times New Roman" w:cs="Times New Roman"/>
          <w:sz w:val="24"/>
          <w:szCs w:val="24"/>
        </w:rPr>
        <w:t>Umiejętność stosowania wiadomości w sytuacjach typowych – student powinien umieć wykorzystać nabytą wiedzę do rozwiązywania prostych (typowych) zagadnień praktycznych według określonego wzorca postępowania. Realizacja tego celu kształcenia powinna przygotować studenta do przeprowadzania podstawowych obliczeń i analiz służących do charakterystyki zjawisk finansowych i oceny sytuacji finansowej podmiotów gospodarczych oraz podejmowania standardowych decyzji finansowych.</w:t>
      </w:r>
    </w:p>
    <w:p w:rsidR="00AF3478" w:rsidRPr="00AF3478" w:rsidRDefault="00AF3478" w:rsidP="00AF347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478">
        <w:rPr>
          <w:rFonts w:ascii="Times New Roman" w:hAnsi="Times New Roman" w:cs="Times New Roman"/>
          <w:sz w:val="24"/>
          <w:szCs w:val="24"/>
        </w:rPr>
        <w:t xml:space="preserve">Umiejętność stosowania wiadomości w sytuacjach problemowych – oznacza to opanowanie umiejętności identyfikacji problemu, dokonania analizy i syntezy zjawisk charakteryzujących problem oraz na bazie posiadanej wiedzy modyfikacji podanego wzorca postępowania w celu rozwiązania problemu wraz z uzasadnieniem podjęcia decyzji. </w:t>
      </w:r>
      <w:bookmarkStart w:id="1" w:name="_Toc471819064"/>
    </w:p>
    <w:bookmarkEnd w:id="1"/>
    <w:p w:rsidR="006C2DC8" w:rsidRPr="00363218" w:rsidRDefault="006C2DC8" w:rsidP="006C2DC8">
      <w:pPr>
        <w:pStyle w:val="Style3"/>
        <w:widowControl/>
        <w:spacing w:line="360" w:lineRule="auto"/>
        <w:ind w:firstLine="0"/>
        <w:rPr>
          <w:b/>
        </w:rPr>
      </w:pPr>
      <w:r>
        <w:rPr>
          <w:b/>
        </w:rPr>
        <w:lastRenderedPageBreak/>
        <w:t xml:space="preserve">14. </w:t>
      </w:r>
      <w:r w:rsidRPr="00363218">
        <w:rPr>
          <w:b/>
        </w:rPr>
        <w:t>Pielęgniarstwo – studia II stopnia</w:t>
      </w:r>
      <w:r>
        <w:rPr>
          <w:b/>
        </w:rPr>
        <w:t xml:space="preserve"> – moduły kształcenia:</w:t>
      </w:r>
    </w:p>
    <w:p w:rsidR="006C2DC8" w:rsidRPr="00363218" w:rsidRDefault="006C2DC8" w:rsidP="006C2DC8">
      <w:pPr>
        <w:pStyle w:val="Style3"/>
        <w:widowControl/>
        <w:spacing w:line="360" w:lineRule="auto"/>
        <w:ind w:firstLine="0"/>
      </w:pPr>
      <w:r w:rsidRPr="00363218">
        <w:t>A – GRUPA NAUK SPOŁECZNYCH (</w:t>
      </w:r>
      <w:r w:rsidRPr="00363218">
        <w:rPr>
          <w:spacing w:val="-4"/>
        </w:rPr>
        <w:t xml:space="preserve">teoria pielęgniarstwa, pielęgniarstwo europejskie, organizacja i zarządzanie w pielęgniarstwie, badania naukowe w pielęgniarstwie; metodologia badań i pisania pracy dyplomowej, dydaktyka medyczna, podstawy psychoterapii, promocja zdrowia i edukacja zdrowotna, ustawodawstwo zawodowe, biostatystyka, technologie informacyjne, elementy analizy </w:t>
      </w:r>
      <w:proofErr w:type="gramStart"/>
      <w:r w:rsidRPr="00363218">
        <w:rPr>
          <w:spacing w:val="-4"/>
        </w:rPr>
        <w:t xml:space="preserve">ekonomicznej </w:t>
      </w:r>
      <w:r>
        <w:rPr>
          <w:spacing w:val="-4"/>
        </w:rPr>
        <w:t xml:space="preserve">     </w:t>
      </w:r>
      <w:r w:rsidRPr="00363218">
        <w:rPr>
          <w:spacing w:val="-4"/>
        </w:rPr>
        <w:t>i</w:t>
      </w:r>
      <w:proofErr w:type="gramEnd"/>
      <w:r w:rsidRPr="00363218">
        <w:rPr>
          <w:spacing w:val="-4"/>
        </w:rPr>
        <w:t xml:space="preserve"> finansowej, marketing usług medycznych; język angielski)</w:t>
      </w:r>
    </w:p>
    <w:p w:rsidR="007B7116" w:rsidRDefault="006C2DC8" w:rsidP="006C2DC8">
      <w:pPr>
        <w:pStyle w:val="Style3"/>
        <w:widowControl/>
        <w:spacing w:line="360" w:lineRule="auto"/>
        <w:ind w:firstLine="0"/>
      </w:pPr>
      <w:r w:rsidRPr="00363218">
        <w:t>B – NAUKI W ZAKRESIE OPIEKI SPECJALISTYCZNEJ (nowoczesne techniki diagnostyczne; intensywna terapia i pielęgniarstwo w intensywnej opiece medycznej; nefrologia i pielęgniarstwo nefrologiczne; pulmonologia i pielęgniarstw</w:t>
      </w:r>
      <w:r>
        <w:t xml:space="preserve">o pulmonologiczne; diabetologia </w:t>
      </w:r>
      <w:r w:rsidRPr="00363218">
        <w:t xml:space="preserve">i pielęgniarstwo diabetologiczne; opieka długoterminowa i pielęgnowanie pacjenta z przetoką jelitową oraz ranami przewlekłymi; </w:t>
      </w:r>
      <w:r w:rsidRPr="00363218">
        <w:rPr>
          <w:rFonts w:cs="Arial"/>
          <w:bCs/>
        </w:rPr>
        <w:t>chirurgia naczyniowa i pielęgniarstwo w chirurgii naczyniowej</w:t>
      </w:r>
      <w:r w:rsidRPr="00363218">
        <w:t xml:space="preserve">; </w:t>
      </w:r>
      <w:r w:rsidRPr="00363218">
        <w:rPr>
          <w:rFonts w:cs="Arial"/>
          <w:bCs/>
        </w:rPr>
        <w:t>neurologia</w:t>
      </w:r>
      <w:r>
        <w:rPr>
          <w:rFonts w:cs="Arial"/>
          <w:bCs/>
        </w:rPr>
        <w:t xml:space="preserve"> </w:t>
      </w:r>
      <w:r w:rsidRPr="00363218">
        <w:rPr>
          <w:rFonts w:cs="Arial"/>
          <w:bCs/>
        </w:rPr>
        <w:t>i pielęgniarstwo neurologiczne</w:t>
      </w:r>
      <w:r w:rsidRPr="00363218">
        <w:t xml:space="preserve">; </w:t>
      </w:r>
      <w:r w:rsidRPr="00363218">
        <w:rPr>
          <w:rFonts w:cs="Arial"/>
          <w:bCs/>
        </w:rPr>
        <w:t>hematologia i pielęgniarstwo hematologiczne</w:t>
      </w:r>
      <w:r w:rsidRPr="00363218">
        <w:t xml:space="preserve">; </w:t>
      </w:r>
      <w:r w:rsidRPr="00363218">
        <w:rPr>
          <w:rFonts w:cs="Arial"/>
          <w:bCs/>
        </w:rPr>
        <w:t>psychiatria i pielęgniarstwo psychiatryczne</w:t>
      </w:r>
      <w:r w:rsidRPr="00363218">
        <w:t>, gastroenterologia i pielęgniarstwo gastroenterologiczne, medycyna rozrodu i embriologia człowieka, onkologia</w:t>
      </w:r>
      <w:r>
        <w:t xml:space="preserve"> </w:t>
      </w:r>
      <w:r w:rsidRPr="00363218">
        <w:t>i pielęgniarstwo onkologiczne, neurochirurgia</w:t>
      </w:r>
      <w:r>
        <w:t xml:space="preserve"> </w:t>
      </w:r>
      <w:r w:rsidRPr="00363218">
        <w:t>i pielęgniarstwo neurochirurgiczne,</w:t>
      </w:r>
      <w:r>
        <w:t xml:space="preserve"> </w:t>
      </w:r>
      <w:r w:rsidRPr="00363218">
        <w:t>dermatologia i pielęgniarstwo dermatologiczne, epidemiologia i pielęgniarstwo epidemio</w:t>
      </w:r>
      <w:r>
        <w:t xml:space="preserve">logiczne, kardiologia inwazyjna </w:t>
      </w:r>
      <w:r w:rsidRPr="00363218">
        <w:t xml:space="preserve">i pielęgniarstwo kardiologiczne, immunologia i opieka pielęgniarska w zaburzeniach immunologicznych, </w:t>
      </w:r>
      <w:proofErr w:type="gramStart"/>
      <w:r w:rsidRPr="00363218">
        <w:t>endokrynologia</w:t>
      </w:r>
      <w:r>
        <w:t xml:space="preserve">  </w:t>
      </w:r>
      <w:r w:rsidRPr="00363218">
        <w:t>i</w:t>
      </w:r>
      <w:proofErr w:type="gramEnd"/>
      <w:r w:rsidRPr="00363218">
        <w:t xml:space="preserve"> pielęgnowanie pacjentów </w:t>
      </w:r>
      <w:proofErr w:type="gramStart"/>
      <w:r w:rsidRPr="00363218">
        <w:t>z</w:t>
      </w:r>
      <w:proofErr w:type="gramEnd"/>
      <w:r w:rsidRPr="00363218">
        <w:t xml:space="preserve"> chorobami układu dokrewnego, dietetyka, opieka nad dziećmi upośledzonymi, urologia i pielęgniarstwo urologiczne, transplantologia i pielęgniarstwo transplantologiczne).</w:t>
      </w:r>
    </w:p>
    <w:p w:rsidR="006C2DC8" w:rsidRPr="006C2DC8" w:rsidRDefault="006C2DC8" w:rsidP="006C2DC8">
      <w:pPr>
        <w:pStyle w:val="Style3"/>
        <w:widowControl/>
        <w:spacing w:line="240" w:lineRule="auto"/>
        <w:ind w:firstLine="0"/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3261"/>
        <w:gridCol w:w="3444"/>
      </w:tblGrid>
      <w:tr w:rsidR="006C2DC8" w:rsidRPr="000B6A35" w:rsidTr="006C2DC8">
        <w:trPr>
          <w:trHeight w:val="5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C8" w:rsidRPr="006C2DC8" w:rsidRDefault="006C2DC8" w:rsidP="0060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C8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DC8" w:rsidRPr="006C2DC8" w:rsidRDefault="006C2DC8" w:rsidP="0060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C8">
              <w:rPr>
                <w:rFonts w:ascii="Times New Roman" w:hAnsi="Times New Roman" w:cs="Times New Roman"/>
                <w:b/>
                <w:sz w:val="24"/>
                <w:szCs w:val="24"/>
              </w:rPr>
              <w:t>Ogólny wymiar godzin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C8" w:rsidRPr="006C2DC8" w:rsidRDefault="006C2DC8" w:rsidP="006C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C8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C8">
              <w:rPr>
                <w:rFonts w:ascii="Times New Roman" w:hAnsi="Times New Roman" w:cs="Times New Roman"/>
                <w:b/>
                <w:sz w:val="24"/>
                <w:szCs w:val="24"/>
              </w:rPr>
              <w:t>kontaktowe</w:t>
            </w:r>
          </w:p>
        </w:tc>
      </w:tr>
      <w:tr w:rsidR="006C2DC8" w:rsidRPr="000B6A35" w:rsidTr="006C2DC8">
        <w:trPr>
          <w:trHeight w:val="3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DC8" w:rsidRPr="006C2DC8" w:rsidRDefault="006C2DC8" w:rsidP="0060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C8">
              <w:rPr>
                <w:rFonts w:ascii="Times New Roman" w:hAnsi="Times New Roman" w:cs="Times New Roman"/>
                <w:sz w:val="24"/>
                <w:szCs w:val="24"/>
              </w:rPr>
              <w:t>wykłady</w:t>
            </w:r>
            <w:proofErr w:type="gram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DC8" w:rsidRPr="006C2DC8" w:rsidRDefault="00600454" w:rsidP="006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C8" w:rsidRPr="006C2DC8" w:rsidRDefault="00600454" w:rsidP="006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C2DC8" w:rsidRPr="000B6A35" w:rsidTr="006C2DC8">
        <w:trPr>
          <w:trHeight w:val="3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DC8" w:rsidRPr="006C2DC8" w:rsidRDefault="006C2DC8" w:rsidP="0060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C8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gramEnd"/>
            <w:r w:rsidRPr="006C2DC8">
              <w:rPr>
                <w:rFonts w:ascii="Times New Roman" w:hAnsi="Times New Roman" w:cs="Times New Roman"/>
                <w:sz w:val="24"/>
                <w:szCs w:val="24"/>
              </w:rPr>
              <w:t xml:space="preserve"> audytoryjne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DC8" w:rsidRPr="006C2DC8" w:rsidRDefault="00600454" w:rsidP="006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8" w:rsidRPr="000B6A35" w:rsidRDefault="006C2DC8" w:rsidP="00600454">
            <w:pPr>
              <w:rPr>
                <w:sz w:val="24"/>
                <w:szCs w:val="24"/>
              </w:rPr>
            </w:pPr>
          </w:p>
        </w:tc>
      </w:tr>
      <w:tr w:rsidR="006C2DC8" w:rsidRPr="000B6A35" w:rsidTr="006C2DC8">
        <w:trPr>
          <w:trHeight w:val="3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DC8" w:rsidRPr="006C2DC8" w:rsidRDefault="006C2DC8" w:rsidP="0060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C8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gramEnd"/>
            <w:r w:rsidRPr="006C2DC8">
              <w:rPr>
                <w:rFonts w:ascii="Times New Roman" w:hAnsi="Times New Roman" w:cs="Times New Roman"/>
                <w:sz w:val="24"/>
                <w:szCs w:val="24"/>
              </w:rPr>
              <w:t xml:space="preserve"> praktyczne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DC8" w:rsidRPr="006C2DC8" w:rsidRDefault="00600454" w:rsidP="006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8" w:rsidRPr="000B6A35" w:rsidRDefault="006C2DC8" w:rsidP="00600454">
            <w:pPr>
              <w:rPr>
                <w:sz w:val="24"/>
                <w:szCs w:val="24"/>
              </w:rPr>
            </w:pPr>
          </w:p>
        </w:tc>
      </w:tr>
      <w:tr w:rsidR="006C2DC8" w:rsidRPr="000B6A35" w:rsidTr="006C2DC8">
        <w:trPr>
          <w:trHeight w:val="3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DC8" w:rsidRPr="006C2DC8" w:rsidRDefault="006C2DC8" w:rsidP="0060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C8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  <w:proofErr w:type="gramEnd"/>
            <w:r w:rsidRPr="006C2DC8">
              <w:rPr>
                <w:rFonts w:ascii="Times New Roman" w:hAnsi="Times New Roman" w:cs="Times New Roman"/>
                <w:sz w:val="24"/>
                <w:szCs w:val="24"/>
              </w:rPr>
              <w:t xml:space="preserve"> zawodowe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DC8" w:rsidRPr="006C2DC8" w:rsidRDefault="006C2DC8" w:rsidP="006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8" w:rsidRPr="000B6A35" w:rsidRDefault="006C2DC8" w:rsidP="00600454">
            <w:pPr>
              <w:rPr>
                <w:sz w:val="24"/>
                <w:szCs w:val="24"/>
              </w:rPr>
            </w:pPr>
          </w:p>
        </w:tc>
      </w:tr>
      <w:tr w:rsidR="006C2DC8" w:rsidTr="006C2DC8">
        <w:trPr>
          <w:gridAfter w:val="1"/>
          <w:wAfter w:w="3444" w:type="dxa"/>
          <w:trHeight w:val="3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DC8" w:rsidRPr="006C2DC8" w:rsidRDefault="006C2DC8" w:rsidP="0060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DC8">
              <w:rPr>
                <w:rFonts w:ascii="Times New Roman" w:hAnsi="Times New Roman" w:cs="Times New Roman"/>
                <w:sz w:val="24"/>
                <w:szCs w:val="24"/>
              </w:rPr>
              <w:t>samokształcenie</w:t>
            </w:r>
            <w:proofErr w:type="gramEnd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C8" w:rsidRPr="006C2DC8" w:rsidRDefault="00600454" w:rsidP="006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6C2DC8" w:rsidTr="006C2DC8">
        <w:trPr>
          <w:gridAfter w:val="1"/>
          <w:wAfter w:w="3444" w:type="dxa"/>
          <w:trHeight w:val="3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2DC8" w:rsidRPr="006C2DC8" w:rsidRDefault="006C2DC8" w:rsidP="0060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DC8" w:rsidRPr="006C2DC8" w:rsidRDefault="006C2DC8" w:rsidP="006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6C2DC8" w:rsidRPr="000B6A35" w:rsidRDefault="006C2DC8" w:rsidP="006C2DC8">
      <w:pPr>
        <w:pStyle w:val="Style3"/>
        <w:widowControl/>
        <w:spacing w:line="240" w:lineRule="auto"/>
        <w:ind w:firstLine="0"/>
        <w:rPr>
          <w:i/>
          <w:sz w:val="20"/>
          <w:szCs w:val="20"/>
        </w:rPr>
      </w:pPr>
      <w:r w:rsidRPr="000B6A35">
        <w:rPr>
          <w:i/>
          <w:sz w:val="20"/>
          <w:szCs w:val="20"/>
        </w:rPr>
        <w:t>Źródło: Plan studiów II stopnia kierunku pielęgniarstwo</w:t>
      </w:r>
    </w:p>
    <w:p w:rsidR="007B7116" w:rsidRDefault="007B7116" w:rsidP="006C2DC8">
      <w:pPr>
        <w:tabs>
          <w:tab w:val="left" w:pos="567"/>
          <w:tab w:val="num" w:pos="709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C8" w:rsidRDefault="006C2DC8" w:rsidP="006C2DC8">
      <w:pPr>
        <w:pStyle w:val="Pa6"/>
        <w:rPr>
          <w:color w:val="000000"/>
          <w:sz w:val="20"/>
          <w:szCs w:val="20"/>
        </w:rPr>
      </w:pPr>
      <w:r w:rsidRPr="00206268">
        <w:rPr>
          <w:b/>
          <w:bCs/>
        </w:rPr>
        <w:t>15.</w:t>
      </w:r>
      <w:r w:rsidR="00206268">
        <w:rPr>
          <w:b/>
          <w:bCs/>
        </w:rPr>
        <w:t xml:space="preserve"> </w:t>
      </w:r>
      <w:r w:rsidRPr="006C2DC8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LICZBA GODZIN ZAJĘĆ ZORGANIZOWANYCH ORAZ PUNKTÓW ECTS</w:t>
      </w:r>
    </w:p>
    <w:p w:rsidR="0044484B" w:rsidRPr="00206268" w:rsidRDefault="00F6170A" w:rsidP="00206268">
      <w:pPr>
        <w:pStyle w:val="Akapitzlist"/>
        <w:numPr>
          <w:ilvl w:val="0"/>
          <w:numId w:val="19"/>
        </w:numPr>
        <w:tabs>
          <w:tab w:val="left" w:pos="567"/>
          <w:tab w:val="left" w:pos="1418"/>
        </w:tabs>
        <w:spacing w:after="0" w:line="360" w:lineRule="auto"/>
        <w:jc w:val="both"/>
        <w:rPr>
          <w:rStyle w:val="Pogrubienie"/>
          <w:rFonts w:ascii="Times New Roman" w:hAnsi="Times New Roman"/>
          <w:bCs/>
          <w:sz w:val="24"/>
          <w:szCs w:val="24"/>
        </w:rPr>
      </w:pPr>
      <w:r w:rsidRPr="00206268">
        <w:rPr>
          <w:rStyle w:val="Pogrubienie"/>
          <w:rFonts w:ascii="Times New Roman" w:hAnsi="Times New Roman"/>
          <w:bCs/>
          <w:sz w:val="24"/>
          <w:szCs w:val="24"/>
        </w:rPr>
        <w:lastRenderedPageBreak/>
        <w:t>Efekty kształcenia</w:t>
      </w:r>
    </w:p>
    <w:p w:rsidR="00852550" w:rsidRPr="00841620" w:rsidRDefault="00852550" w:rsidP="00852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1620" w:rsidRPr="00841620" w:rsidRDefault="00852550" w:rsidP="008416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16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EFEKTY KSZTAŁCENIA DLA KIERUNKU STUDIÓW </w:t>
      </w:r>
    </w:p>
    <w:p w:rsidR="00841620" w:rsidRPr="00841620" w:rsidRDefault="00841620" w:rsidP="00841620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841620" w:rsidRPr="00841620" w:rsidRDefault="00841620" w:rsidP="00841620">
      <w:pPr>
        <w:pStyle w:val="Tytu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1620">
        <w:rPr>
          <w:rFonts w:ascii="Times New Roman" w:hAnsi="Times New Roman" w:cs="Times New Roman"/>
          <w:color w:val="auto"/>
          <w:sz w:val="24"/>
          <w:szCs w:val="24"/>
        </w:rPr>
        <w:t>Pielęgniarstwo II stopnia</w:t>
      </w:r>
    </w:p>
    <w:p w:rsidR="00841620" w:rsidRPr="00841620" w:rsidRDefault="00841620" w:rsidP="00841620">
      <w:pPr>
        <w:pStyle w:val="Tytu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1620">
        <w:rPr>
          <w:rFonts w:ascii="Times New Roman" w:hAnsi="Times New Roman" w:cs="Times New Roman"/>
          <w:color w:val="auto"/>
          <w:sz w:val="24"/>
          <w:szCs w:val="24"/>
        </w:rPr>
        <w:t>Wydział Nauk o Zdrowiu</w:t>
      </w:r>
    </w:p>
    <w:p w:rsidR="00841620" w:rsidRPr="00841620" w:rsidRDefault="007B48DA" w:rsidP="00841620">
      <w:pPr>
        <w:pStyle w:val="Tytu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841620" w:rsidRPr="00841620" w:rsidRDefault="00841620" w:rsidP="00841620">
      <w:pPr>
        <w:pStyle w:val="Tytu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1620">
        <w:rPr>
          <w:rFonts w:ascii="Times New Roman" w:hAnsi="Times New Roman" w:cs="Times New Roman"/>
          <w:bCs/>
          <w:color w:val="auto"/>
          <w:sz w:val="24"/>
          <w:szCs w:val="24"/>
        </w:rPr>
        <w:t>STUDIA DRUGIEGO STOPNIA – PROFIL PRAKTYCZNY</w:t>
      </w:r>
    </w:p>
    <w:p w:rsidR="00841620" w:rsidRPr="000D0310" w:rsidRDefault="00841620" w:rsidP="000D0310">
      <w:pPr>
        <w:pStyle w:val="Nagwek1"/>
        <w:numPr>
          <w:ilvl w:val="0"/>
          <w:numId w:val="0"/>
        </w:numPr>
        <w:ind w:left="1021" w:hanging="624"/>
        <w:rPr>
          <w:rFonts w:cs="Times New Roman"/>
          <w:sz w:val="24"/>
          <w:szCs w:val="24"/>
        </w:rPr>
      </w:pPr>
      <w:r w:rsidRPr="00841620">
        <w:rPr>
          <w:rFonts w:cs="Times New Roman"/>
          <w:sz w:val="24"/>
          <w:szCs w:val="24"/>
        </w:rPr>
        <w:t>Umiejscowienie kierunku studiów w obszarze kształcenia</w:t>
      </w:r>
    </w:p>
    <w:p w:rsidR="00841620" w:rsidRPr="00841620" w:rsidRDefault="00841620" w:rsidP="008416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620">
        <w:rPr>
          <w:rFonts w:ascii="Times New Roman" w:hAnsi="Times New Roman" w:cs="Times New Roman"/>
          <w:b/>
          <w:iCs/>
          <w:sz w:val="24"/>
          <w:szCs w:val="24"/>
        </w:rPr>
        <w:t xml:space="preserve">Pielęgniarstwo </w:t>
      </w:r>
      <w:r w:rsidRPr="00841620">
        <w:rPr>
          <w:rFonts w:ascii="Times New Roman" w:hAnsi="Times New Roman" w:cs="Times New Roman"/>
          <w:sz w:val="24"/>
          <w:szCs w:val="24"/>
        </w:rPr>
        <w:t xml:space="preserve">mieści się w obszarze kształcenia z zakresu nauk medycznych, nauk </w:t>
      </w:r>
      <w:r w:rsidRPr="00841620">
        <w:rPr>
          <w:rFonts w:ascii="Times New Roman" w:hAnsi="Times New Roman" w:cs="Times New Roman"/>
          <w:sz w:val="24"/>
          <w:szCs w:val="24"/>
        </w:rPr>
        <w:br/>
        <w:t xml:space="preserve">o zdrowiu oraz nauk o kulturze fizycznej. </w:t>
      </w:r>
    </w:p>
    <w:p w:rsidR="00841620" w:rsidRPr="00841620" w:rsidRDefault="00841620" w:rsidP="00841620">
      <w:pPr>
        <w:jc w:val="both"/>
        <w:rPr>
          <w:rFonts w:ascii="Times New Roman" w:hAnsi="Times New Roman" w:cs="Times New Roman"/>
          <w:sz w:val="24"/>
          <w:szCs w:val="24"/>
        </w:rPr>
      </w:pPr>
      <w:r w:rsidRPr="00841620">
        <w:rPr>
          <w:rFonts w:ascii="Times New Roman" w:hAnsi="Times New Roman" w:cs="Times New Roman"/>
          <w:sz w:val="24"/>
          <w:szCs w:val="24"/>
        </w:rPr>
        <w:t xml:space="preserve">Studia drugiego stopnia na kierunku </w:t>
      </w:r>
      <w:r w:rsidRPr="00841620">
        <w:rPr>
          <w:rFonts w:ascii="Times New Roman" w:hAnsi="Times New Roman" w:cs="Times New Roman"/>
          <w:b/>
          <w:iCs/>
          <w:sz w:val="24"/>
          <w:szCs w:val="24"/>
        </w:rPr>
        <w:t xml:space="preserve">pielęgniarstwo </w:t>
      </w:r>
      <w:r w:rsidRPr="00841620">
        <w:rPr>
          <w:rFonts w:ascii="Times New Roman" w:hAnsi="Times New Roman" w:cs="Times New Roman"/>
          <w:sz w:val="24"/>
          <w:szCs w:val="24"/>
        </w:rPr>
        <w:t xml:space="preserve">w Collegium </w:t>
      </w:r>
      <w:proofErr w:type="spellStart"/>
      <w:r w:rsidRPr="00841620">
        <w:rPr>
          <w:rFonts w:ascii="Times New Roman" w:hAnsi="Times New Roman" w:cs="Times New Roman"/>
          <w:sz w:val="24"/>
          <w:szCs w:val="24"/>
        </w:rPr>
        <w:t>Mazovia</w:t>
      </w:r>
      <w:proofErr w:type="spellEnd"/>
      <w:r w:rsidRPr="00841620">
        <w:rPr>
          <w:rFonts w:ascii="Times New Roman" w:hAnsi="Times New Roman" w:cs="Times New Roman"/>
          <w:sz w:val="24"/>
          <w:szCs w:val="24"/>
        </w:rPr>
        <w:t xml:space="preserve"> Innowacyjnej Szkole Wyższej dostarczają szerokiej wiedzy z zakresu pielęgniarstwa; ogólnej wiedzy z zakresu nauk medycznych; znajomości regulacji prawnych, norm etycznych </w:t>
      </w:r>
      <w:r w:rsidRPr="00841620">
        <w:rPr>
          <w:rFonts w:ascii="Times New Roman" w:hAnsi="Times New Roman" w:cs="Times New Roman"/>
          <w:sz w:val="24"/>
          <w:szCs w:val="24"/>
        </w:rPr>
        <w:br/>
        <w:t>i deontologii odnoszących się do wykonywania zawodu pielęgniarki.</w:t>
      </w:r>
    </w:p>
    <w:p w:rsidR="00841620" w:rsidRPr="00841620" w:rsidRDefault="00841620" w:rsidP="00841620">
      <w:pPr>
        <w:jc w:val="both"/>
        <w:rPr>
          <w:rFonts w:ascii="Times New Roman" w:hAnsi="Times New Roman" w:cs="Times New Roman"/>
          <w:sz w:val="24"/>
          <w:szCs w:val="24"/>
        </w:rPr>
      </w:pPr>
      <w:r w:rsidRPr="00841620">
        <w:rPr>
          <w:rFonts w:ascii="Times New Roman" w:hAnsi="Times New Roman" w:cs="Times New Roman"/>
          <w:sz w:val="24"/>
          <w:szCs w:val="24"/>
        </w:rPr>
        <w:t>Studia drugiego stopnia rozwijają umiejętność: korzystania z aktualnej wiedzy dla zapewnienia bezpieczeństwa i wysokiego poziomu opieki; udzielania świadczeń w zakresie promowania, zachowania zdrowia i zapobiegania chorobom; sprawowania całościowej, zindywidualizowanej opieki nad pacjentem niepełnosprawnym i umierającym; samodzielnego wykonywania zawodu zgodnie z zasadami etyki ogólnej i etyki zawodowej oraz holistycznego podejścia do pacjenta; organizowania pracy własnej, nawiązywania współpracy w zespołach opieki zdrowotnej oraz inicjowania i wspierania działania społeczności lokalnej na rzecz zdrowia.</w:t>
      </w:r>
    </w:p>
    <w:p w:rsidR="00841620" w:rsidRPr="00841620" w:rsidRDefault="00841620" w:rsidP="00841620">
      <w:pPr>
        <w:jc w:val="both"/>
        <w:rPr>
          <w:rFonts w:ascii="Times New Roman" w:hAnsi="Times New Roman" w:cs="Times New Roman"/>
          <w:sz w:val="24"/>
          <w:szCs w:val="24"/>
        </w:rPr>
      </w:pPr>
      <w:r w:rsidRPr="00841620">
        <w:rPr>
          <w:rFonts w:ascii="Times New Roman" w:hAnsi="Times New Roman" w:cs="Times New Roman"/>
          <w:sz w:val="24"/>
          <w:szCs w:val="24"/>
        </w:rPr>
        <w:t>Studia te rozwijają kompetencje umożliwiające podjęcie pracy zawodowej w charakterze pielęgniarki.</w:t>
      </w:r>
    </w:p>
    <w:p w:rsidR="00841620" w:rsidRPr="00841620" w:rsidRDefault="00841620" w:rsidP="00B97CE2">
      <w:pPr>
        <w:pStyle w:val="NormalnyWeb"/>
        <w:spacing w:before="0" w:beforeAutospacing="0" w:after="0" w:line="360" w:lineRule="auto"/>
        <w:jc w:val="both"/>
      </w:pPr>
      <w:r w:rsidRPr="00841620">
        <w:t>Kierunek spełnia wymogi określone Rozporządzeniem Ministra Nauki i Szkolnictwa Wyższego z dnia 24 sierpnia 2016 r. w sprawie standardów kształcenia dla kierunków studiów: lekarskiego, lekarsko-dentystycznego, farmacji, pielęgniarstwa i położnictwa oraz wymogi Rozporządzenia Ministra Zdrowia z dnia 20 sierpnia 2012 w sprawie szczegółowych wymagań dotyczących kształcenia pielęgniarek i położnych.</w:t>
      </w:r>
    </w:p>
    <w:p w:rsidR="00841620" w:rsidRPr="00841620" w:rsidRDefault="00841620" w:rsidP="00B97C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620">
        <w:rPr>
          <w:rFonts w:ascii="Times New Roman" w:hAnsi="Times New Roman" w:cs="Times New Roman"/>
          <w:sz w:val="24"/>
          <w:szCs w:val="24"/>
        </w:rPr>
        <w:t xml:space="preserve">Studia dają także dobre podstawy teoretyczne do podejmowania studiów drugiego stopnia. </w:t>
      </w:r>
    </w:p>
    <w:p w:rsidR="00841620" w:rsidRPr="00841620" w:rsidRDefault="00841620" w:rsidP="008416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620">
        <w:rPr>
          <w:rFonts w:ascii="Times New Roman" w:hAnsi="Times New Roman" w:cs="Times New Roman"/>
          <w:sz w:val="24"/>
          <w:szCs w:val="24"/>
          <w:u w:val="single"/>
        </w:rPr>
        <w:t>Objaśnienie oznaczeń:</w:t>
      </w:r>
    </w:p>
    <w:p w:rsidR="00841620" w:rsidRPr="00841620" w:rsidRDefault="00841620" w:rsidP="00841620">
      <w:pPr>
        <w:rPr>
          <w:rStyle w:val="CharacterStyle1"/>
          <w:rFonts w:ascii="Times New Roman" w:hAnsi="Times New Roman" w:cs="Times New Roman"/>
          <w:szCs w:val="24"/>
        </w:rPr>
      </w:pPr>
      <w:r w:rsidRPr="00841620">
        <w:rPr>
          <w:rStyle w:val="CharacterStyle1"/>
          <w:rFonts w:ascii="Times New Roman" w:hAnsi="Times New Roman" w:cs="Times New Roman"/>
          <w:szCs w:val="24"/>
        </w:rPr>
        <w:t xml:space="preserve">A, B (przed </w:t>
      </w:r>
      <w:proofErr w:type="spellStart"/>
      <w:r w:rsidRPr="00841620">
        <w:rPr>
          <w:rStyle w:val="CharacterStyle1"/>
          <w:rFonts w:ascii="Times New Roman" w:hAnsi="Times New Roman" w:cs="Times New Roman"/>
          <w:szCs w:val="24"/>
        </w:rPr>
        <w:t>podkreślnikiem</w:t>
      </w:r>
      <w:proofErr w:type="spellEnd"/>
      <w:r w:rsidRPr="00841620">
        <w:rPr>
          <w:rStyle w:val="CharacterStyle1"/>
          <w:rFonts w:ascii="Times New Roman" w:hAnsi="Times New Roman" w:cs="Times New Roman"/>
          <w:szCs w:val="24"/>
        </w:rPr>
        <w:t>) - kierunkowe efekty kształcenia dla studiów drugiego stopnia o profilu praktycznym, gdzie:</w:t>
      </w:r>
    </w:p>
    <w:p w:rsidR="00841620" w:rsidRPr="00841620" w:rsidRDefault="00841620" w:rsidP="00841620">
      <w:pPr>
        <w:rPr>
          <w:rFonts w:ascii="Times New Roman" w:hAnsi="Times New Roman" w:cs="Times New Roman"/>
          <w:sz w:val="24"/>
          <w:szCs w:val="24"/>
        </w:rPr>
      </w:pPr>
      <w:r w:rsidRPr="00841620">
        <w:rPr>
          <w:rStyle w:val="CharacterStyle1"/>
          <w:rFonts w:ascii="Times New Roman" w:hAnsi="Times New Roman" w:cs="Times New Roman"/>
          <w:szCs w:val="24"/>
        </w:rPr>
        <w:t xml:space="preserve">A - grupa </w:t>
      </w:r>
      <w:r w:rsidRPr="00841620">
        <w:rPr>
          <w:rFonts w:ascii="Times New Roman" w:hAnsi="Times New Roman" w:cs="Times New Roman"/>
          <w:sz w:val="24"/>
          <w:szCs w:val="24"/>
        </w:rPr>
        <w:t>nauk społecznych</w:t>
      </w:r>
    </w:p>
    <w:p w:rsidR="00841620" w:rsidRPr="00841620" w:rsidRDefault="00841620" w:rsidP="00841620">
      <w:pPr>
        <w:rPr>
          <w:rFonts w:ascii="Times New Roman" w:hAnsi="Times New Roman" w:cs="Times New Roman"/>
          <w:sz w:val="24"/>
          <w:szCs w:val="24"/>
        </w:rPr>
      </w:pPr>
      <w:r w:rsidRPr="00841620">
        <w:rPr>
          <w:rFonts w:ascii="Times New Roman" w:hAnsi="Times New Roman" w:cs="Times New Roman"/>
          <w:sz w:val="24"/>
          <w:szCs w:val="24"/>
        </w:rPr>
        <w:t>B - grupa nauk w zakresie opieki specjalistycznej</w:t>
      </w:r>
    </w:p>
    <w:p w:rsidR="00841620" w:rsidRPr="00841620" w:rsidRDefault="00841620" w:rsidP="00841620">
      <w:pPr>
        <w:rPr>
          <w:rFonts w:ascii="Times New Roman" w:hAnsi="Times New Roman" w:cs="Times New Roman"/>
          <w:sz w:val="24"/>
          <w:szCs w:val="24"/>
        </w:rPr>
      </w:pPr>
      <w:r w:rsidRPr="00841620">
        <w:rPr>
          <w:rFonts w:ascii="Times New Roman" w:hAnsi="Times New Roman" w:cs="Times New Roman"/>
          <w:sz w:val="24"/>
          <w:szCs w:val="24"/>
        </w:rPr>
        <w:lastRenderedPageBreak/>
        <w:t>W - kategoria wiedzy</w:t>
      </w:r>
    </w:p>
    <w:p w:rsidR="00841620" w:rsidRPr="00841620" w:rsidRDefault="00841620" w:rsidP="00841620">
      <w:pPr>
        <w:rPr>
          <w:rFonts w:ascii="Times New Roman" w:hAnsi="Times New Roman" w:cs="Times New Roman"/>
          <w:sz w:val="24"/>
          <w:szCs w:val="24"/>
        </w:rPr>
      </w:pPr>
      <w:r w:rsidRPr="00841620">
        <w:rPr>
          <w:rFonts w:ascii="Times New Roman" w:hAnsi="Times New Roman" w:cs="Times New Roman"/>
          <w:sz w:val="24"/>
          <w:szCs w:val="24"/>
        </w:rPr>
        <w:t xml:space="preserve">U - kategoria umiejętności </w:t>
      </w:r>
    </w:p>
    <w:p w:rsidR="00841620" w:rsidRPr="00841620" w:rsidRDefault="00841620" w:rsidP="00841620">
      <w:pPr>
        <w:rPr>
          <w:rFonts w:ascii="Times New Roman" w:hAnsi="Times New Roman" w:cs="Times New Roman"/>
          <w:sz w:val="24"/>
          <w:szCs w:val="24"/>
        </w:rPr>
      </w:pPr>
      <w:r w:rsidRPr="00841620">
        <w:rPr>
          <w:rFonts w:ascii="Times New Roman" w:hAnsi="Times New Roman" w:cs="Times New Roman"/>
          <w:sz w:val="24"/>
          <w:szCs w:val="24"/>
        </w:rPr>
        <w:t xml:space="preserve">K (po </w:t>
      </w:r>
      <w:proofErr w:type="spellStart"/>
      <w:r w:rsidRPr="00841620">
        <w:rPr>
          <w:rFonts w:ascii="Times New Roman" w:hAnsi="Times New Roman" w:cs="Times New Roman"/>
          <w:sz w:val="24"/>
          <w:szCs w:val="24"/>
        </w:rPr>
        <w:t>podkreślniku</w:t>
      </w:r>
      <w:proofErr w:type="spellEnd"/>
      <w:r w:rsidRPr="00841620">
        <w:rPr>
          <w:rFonts w:ascii="Times New Roman" w:hAnsi="Times New Roman" w:cs="Times New Roman"/>
          <w:sz w:val="24"/>
          <w:szCs w:val="24"/>
        </w:rPr>
        <w:t xml:space="preserve">) - kategoria kompetencji społecznych </w:t>
      </w:r>
    </w:p>
    <w:p w:rsidR="00841620" w:rsidRPr="00841620" w:rsidRDefault="00841620" w:rsidP="00841620">
      <w:pPr>
        <w:rPr>
          <w:rFonts w:ascii="Times New Roman" w:hAnsi="Times New Roman" w:cs="Times New Roman"/>
          <w:sz w:val="24"/>
          <w:szCs w:val="24"/>
        </w:rPr>
      </w:pPr>
      <w:r w:rsidRPr="00841620">
        <w:rPr>
          <w:rStyle w:val="CharacterStyle1"/>
          <w:rFonts w:ascii="Times New Roman" w:hAnsi="Times New Roman" w:cs="Times New Roman"/>
          <w:szCs w:val="24"/>
        </w:rPr>
        <w:t>01, 02, 03 i kolejne - numer efektu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7425"/>
      </w:tblGrid>
      <w:tr w:rsidR="00841620" w:rsidRPr="00841620" w:rsidTr="00600454">
        <w:trPr>
          <w:trHeight w:val="147"/>
        </w:trPr>
        <w:tc>
          <w:tcPr>
            <w:tcW w:w="5000" w:type="pct"/>
            <w:gridSpan w:val="2"/>
          </w:tcPr>
          <w:p w:rsidR="00841620" w:rsidRPr="00841620" w:rsidRDefault="00841620" w:rsidP="00600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Nazwa kierunku studiów: </w:t>
            </w:r>
            <w:r w:rsidRPr="00841620">
              <w:rPr>
                <w:rFonts w:ascii="Times New Roman" w:hAnsi="Times New Roman" w:cs="Times New Roman"/>
                <w:b/>
                <w:sz w:val="24"/>
                <w:szCs w:val="24"/>
              </w:rPr>
              <w:t>Pielęgniarstwo</w:t>
            </w:r>
          </w:p>
          <w:p w:rsidR="00841620" w:rsidRPr="00841620" w:rsidRDefault="00841620" w:rsidP="00600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Poziom kształcenia: </w:t>
            </w:r>
            <w:r w:rsidRPr="0084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studia drugiego stopnia </w:t>
            </w:r>
          </w:p>
          <w:p w:rsidR="00841620" w:rsidRPr="00841620" w:rsidRDefault="00841620" w:rsidP="00600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Profil kształcenia: </w:t>
            </w:r>
            <w:r w:rsidRPr="00841620">
              <w:rPr>
                <w:rFonts w:ascii="Times New Roman" w:hAnsi="Times New Roman" w:cs="Times New Roman"/>
                <w:b/>
                <w:sz w:val="24"/>
                <w:szCs w:val="24"/>
              </w:rPr>
              <w:t>praktyczny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/>
                <w:sz w:val="24"/>
                <w:szCs w:val="24"/>
              </w:rPr>
              <w:t>Symbol kierunkowych efektów kształcenia</w:t>
            </w:r>
          </w:p>
        </w:tc>
        <w:tc>
          <w:tcPr>
            <w:tcW w:w="3997" w:type="pct"/>
            <w:vAlign w:val="center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/>
                <w:sz w:val="24"/>
                <w:szCs w:val="24"/>
              </w:rPr>
              <w:t>Szczegółowe efekty kształcenia</w:t>
            </w:r>
          </w:p>
        </w:tc>
      </w:tr>
      <w:tr w:rsidR="00841620" w:rsidRPr="00841620" w:rsidTr="00600454">
        <w:trPr>
          <w:trHeight w:val="147"/>
        </w:trPr>
        <w:tc>
          <w:tcPr>
            <w:tcW w:w="5000" w:type="pct"/>
            <w:gridSpan w:val="2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t>A - Wiedza w zakresie nauk społecznych</w:t>
            </w: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(teoria pielęgniarstwa, pielęgniarstwo europejskie, organizacja i zarządzanie w pielęgniarstwie, badania naukowe w pielęgniarstwie; metodologia badań i pisania pracy dyplomowej, dydaktyka medyczna, podstawy psychoterapii, promocja zdrowia i edukacja zdrowotna, ustawodawstwo zawodowe, biostatystyka, technologie informacyjne, elementy analizy ekonomicznej i finansowej, marketing usług medycznych; język angielski). W zakresie wiedzy absolwent: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A_W01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Dokonuje analizy teorii i modeli pielęgnowania, ich tworzenia i funkcjonowania w pielęgniarstwie oraz wskazuje wymagania związane z tworzeniem modeli i teorii: poznawczych i systemowych.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A_W02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Interpretuje zagadnienia dotyczące paradygmatu pielęgniarstwa i jego filozofii oraz holistycznego wymiaru opieki pielęgniarskiej.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A_W03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Omawia międzynarodowe klasyfikacje praktyki pielęgniarskiej.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A_W04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Zna przepisy prawne dotyczące zawodu; systemów kształcenia i nabywania kwalifikacji zawodowych pielęgniarki w Polsce i w Unii Europejskiej.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A_W05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Charakteryzuje systemy opieki pielęgniarskiej w Unii Europejskiej i wyjaśnia zasady funkcjonowania pielęgniarstwa na świecie.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A_W06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Różnicuje systemy kształcenia przed i podyplomowego pielęgniarek w poszczególnych krajach Unii Europejskiej.</w:t>
            </w:r>
          </w:p>
        </w:tc>
      </w:tr>
      <w:tr w:rsidR="00841620" w:rsidRPr="00841620" w:rsidTr="00600454">
        <w:trPr>
          <w:trHeight w:val="979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A_W07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Zna role i obszary działania pielęgniarskich stowarzyszeń i organizacji międzynarodowych oraz krajowych np. Polskiego Towarzystwa Pielęgniarskiego (PTP), International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Concil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of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Nurses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(ICN),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European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Federation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of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Nureses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(EFN), Europejskiej Grupy Pielęgniarek </w:t>
            </w: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Badaczy(WENR).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A_W08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Omawia procedurę uznawania kwalifikacji zawodowych pielęgniarek </w:t>
            </w: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br/>
              <w:t>w Unii Europejskiej.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A_W09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Zna rolę WHO i ICN w rozwoju pielęgniarstwa.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A_W10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Charakteryzuje system opieki zdrowotnej i podsystem pielęgniarstwa.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A_W11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Zna specyfikę funkcji kierowniczych, istotę delegowania zadań i proces podejmowania decyzji.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A_W12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Różnicuje style zarządzania oraz cechy przywództwa.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A_W13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Zna zasady zarządzania strategicznego oraz podstawowe metody analizy strategicznej.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AW14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Charakteryzuje marketing usług zdrowotnych.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A_W15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Zna zasady rekrutacji kandydatów do pracy i planowania zasobów ludzkich w organizacjach zdrowotnych.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A_W16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Definiuje proces adaptacji społecznej i zawodowej pojęcie kultury organizacyjnej oraz modele </w:t>
            </w:r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zarządzania jakością</w:t>
            </w:r>
            <w:proofErr w:type="gramEnd"/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A_W17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Różnicuje zakres obowiązków, odpowiedzialności i uprawnień zawodowych w zależności od zakresu kompetencji.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A_W18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Wyjaśnia pojęcia dotyczące obciążenia fizycznego i psychicznego, które wynikają z warunków środowiska pracy.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A_W19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Charakteryzuje istotę procesu zmian w organizacji, opisuje techniki organizatorskie i techniki zarządzania dla </w:t>
            </w:r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oceny jakości</w:t>
            </w:r>
            <w:proofErr w:type="gram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funkcjonowania organizacji.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A_W20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Definiuje </w:t>
            </w:r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pielęgniarstwo jako</w:t>
            </w:r>
            <w:proofErr w:type="gram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naukę o zdrowiu.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A_W21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Definiuje główne pojęcia </w:t>
            </w:r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metodologii jako</w:t>
            </w:r>
            <w:proofErr w:type="gram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nauki oraz charakteryzuje metodykę postępowania badawczego.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A_W22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Zna strukturę pracy naukowej oraz kryteria doboru piśmiennictwa do badań.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A_W23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Zna przepisy prawne dotyczące ochrony </w:t>
            </w:r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praw</w:t>
            </w:r>
            <w:proofErr w:type="gram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autorskich i zasady etyczne </w:t>
            </w: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br/>
              <w:t>w pielęgniarskich badaniach naukowych.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A_W24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Zna programy i testy statystyczne do opracowania wyników badań.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A_W25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Definiuje zasady praktyki opartej na dowodach naukowych w medycynie </w:t>
            </w: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(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evidence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based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medicine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) oraz w pielęgniarstwie (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evidence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based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nursing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practice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).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A_W26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Zna zasady przygotowywania publikacji do pielęgniarskich czasopism naukowych.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A_W27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Charakteryzuje warunki organizowania i planowania działalności dydaktycznej.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A_W28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Omawia cele i zadania dydaktyki medycznej oraz kształcenia medycznego.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A_W29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Wyjaśnia genezę, rozwój i cechy nowoczesnego modelu nauczania-uczenia się.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A_W30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Zna cele kształcenia zawodowego (klasyfikacja, taksonomia, operacjonalizacja celów kształcenia zawodowego).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A_W31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Zna rolę treści kształcenia oraz teorii ich doboru.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A_W32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Wyjaśnia klasyfikację i zastosowanie metod nauczania w kształceniu medycznym.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A_W33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Zna zasady pomiaru dydaktycznego kontroli i oceny w procesie dydaktycznym.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A_W34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Określa istotę, cele i uwarunkowania kształcenia ustawicznego.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A_W35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Wyjaśnia funkcjonowanie człowieka w aspekcie psychicznym i społecznym; teorie zachowania w ujęciu systemowym oraz mechanizmy powstania wybranych zaburzeń funkcjonowania jednostek.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A_W36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Wymienia i charakteryzuje główne kierunki i szkoły terapeutyczne, istotę psychoterapii, jej etapy i cele oraz podstawowe pojęcia i definicje psychoterapeutyczne; zjawisko przeniesienia i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przeciwprzeniesienia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A_W37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Rozróżnia i omawia interwencje i metody psychoterapeutyczne, istotę psychoanalizy,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neopsychoanalizy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i terapii behawioralnej oraz podejście poznawcze i podejście humanistyczno-egzystencjalne w psychoterapii.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A_W38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Wymienia i opisuje cechy i funkcje relacji psychoterapeutycznej w praktyce pielęgniarskiej.</w:t>
            </w:r>
          </w:p>
        </w:tc>
      </w:tr>
      <w:tr w:rsidR="00841620" w:rsidRPr="00841620" w:rsidTr="00600454">
        <w:trPr>
          <w:trHeight w:val="147"/>
        </w:trPr>
        <w:tc>
          <w:tcPr>
            <w:tcW w:w="5000" w:type="pct"/>
            <w:gridSpan w:val="2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84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Umiejętności w zakresie nauk społecznych </w:t>
            </w:r>
            <w:r w:rsidRPr="0084162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t>absolwent: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A_U01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Korzysta z wybranych teorii i modeli pielęgnowania w praktyce pielęgniarskiej.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A_U02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Posługuje się klasyfikacją diagnoz pielęgniarskich.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A_U03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Analizuje obszary działania pielęgniarstwa polskiego, europejskiego i </w:t>
            </w: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światowego.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A_U04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Stosuje w pracy zawodowej przepisy prawa europejskiego dotyczące pielęgniarstwa.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A_U05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Korzysta z informacji oraz danych przekazywanych przez międzynarodowe organizacje i stowarzyszenia pielęgniarskie.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A_U06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Określa zgodnie ze strategią europejską, kierunek badań naukowych w pielęgniarstwie.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A_U07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Ocenia wady i zalety różnych stylów zarządzania oraz wyjaśnia różnice między motywowaniem a przywództwem.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A_U08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Analizuje związek między</w:t>
            </w:r>
          </w:p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a</w:t>
            </w:r>
            <w:proofErr w:type="gram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) formułowaniem celów a planowaniem, </w:t>
            </w:r>
          </w:p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b</w:t>
            </w:r>
            <w:proofErr w:type="gram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) organizowaniem i realizacją zadań a wyborem określonej koncepcji motywowania, </w:t>
            </w:r>
          </w:p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c</w:t>
            </w:r>
            <w:proofErr w:type="gram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) rezultatem pracy a systemem kontroli.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A_U09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Objaśnia ograniczenia formalno-prawne, organizacyjne i psychologiczne wprowadzanie zmian w systemie opieki zdrowotnej i podsystemie pielęgniarstwa.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A_U10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Organizuje rekrutację pracowników oraz planuje proces adaptacji dla nowo przyjętych.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A_U11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Konstruuje plan doskonalenia podyplomowego oraz model kariery zawodowej.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A_U12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Przeprowadza proces oceniania pracowników.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A_U13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Tworzy regulaminy pracy pielęgniarskiej kadry kierowniczej.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A_U14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Przygotowuje jednostkę organizacyjną na potrzeby </w:t>
            </w:r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oceny jakości</w:t>
            </w:r>
            <w:proofErr w:type="gram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A_U15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Przygotowuje jako</w:t>
            </w:r>
            <w:proofErr w:type="gram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świadczeniodawca usług pielęgniarskich umowę cywilnoprawną oraz dokumentację potrzebną do zawarcia kontraktu z płatnikiem na świadczenia z zakresu opieki pielęgniarskiej.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A_U16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Stosuje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evidence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based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nursing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practise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w praktyce zawodowej własnej lub kierowanego zespołu.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A_U17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Planuje i przeprowadza badania naukowe w zakresie pielęgniarstwa oraz badania oceniające system opieki zdrowotnej i potrzeby zdrowotne społeczeństwa.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A_U18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Przeprowadza badania naukowe w pielęgniarstwie z zastosowaniem </w:t>
            </w:r>
            <w:proofErr w:type="spellStart"/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skal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i</w:t>
            </w:r>
            <w:proofErr w:type="gram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narzędzi badawczych.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A_U19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Prowadzi badania w oparciu o metody ilościowe i jakościowe (w tym przegląd piśmiennictwa, metaanalizę, sondaż diagnostyczny, badanie randomizowane, studium przypadku).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71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A_U20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Opracowuje bazę danych w oparciu o materiał badawczy, dokonuje statystycznej analizy oraz interpretuje wyniki badań.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A_U21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Dokonuje analizy porównawczej uzyskanych przez siebie wyników badań z wynikami innych badaczy.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A_U22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Dobiera i ocenia formy i metody nauczania w pielęgniarstwie.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A_U23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Planuje pomiar wyników nauczania i uczenia się.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A_U24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Analizuje relację pielęgniarka (psychoterapeuta</w:t>
            </w:r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)-pacjent</w:t>
            </w:r>
            <w:proofErr w:type="gram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A_U25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Ocenia zasady indywidualne w pracy pielęgniarki (psychoterapeuty).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A_U26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Omawia podstawowe zjawiska w psychoterapii.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A_U27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Współuczestniczy w </w:t>
            </w:r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psychoterapii  grupowej</w:t>
            </w:r>
            <w:proofErr w:type="gram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A_U28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Stosuje zachowania terapeutyczne w ramach interwencji pielęgniarskich z wykorzystaniem elementarnej psychoterapii.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A_U29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Przeprowadza psychoedukację grupową pacjenta i jego rodziny (opiekunów).</w:t>
            </w:r>
          </w:p>
        </w:tc>
      </w:tr>
      <w:tr w:rsidR="00841620" w:rsidRPr="00841620" w:rsidTr="00600454">
        <w:trPr>
          <w:trHeight w:val="147"/>
        </w:trPr>
        <w:tc>
          <w:tcPr>
            <w:tcW w:w="5000" w:type="pct"/>
            <w:gridSpan w:val="2"/>
          </w:tcPr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B. NAUKI W ZAKRESIE OPIEKI SPECJALISTYCZNEJ </w:t>
            </w:r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(nowoczesne techniki diagnostyczne,</w:t>
            </w:r>
          </w:p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intensywna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terapia i pielęgniarstwo w intensywnej opiece medycznej, pielęgniarstwo specjalistyczne:</w:t>
            </w:r>
          </w:p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opieka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pielęgniarska w chorobach przewlekłych nerek, opieka pielęgniarska w chorobach przewlekłych</w:t>
            </w:r>
          </w:p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układu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oddechowego, opieka pielęgniarska nad chorym z cukrzycą, opieka pielęgniarska</w:t>
            </w:r>
          </w:p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chorym z przetoką jelitową, opieka pielęgniarska nad chorym ze schorzeniami naczyń, pielęgnowanie</w:t>
            </w:r>
          </w:p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pacjenta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z ranami przewlekłymi, opieka pielęgniarska nad chorym na stwardnienie rozsiane,</w:t>
            </w:r>
          </w:p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opieka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pielęgniarska nad pacjentem z chorobami krwi, opieka pielęgniarska nad chorym psychicznie</w:t>
            </w:r>
          </w:p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jego rodziną, farmakologia kliniczna). W zakresie absolwent: 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B_W01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Omawia rodzaje, wskazania i użyteczność nowoczesnych technik diagnostycznych.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B_W02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Definiuje nagłe stany zagrożenia. </w:t>
            </w:r>
            <w:proofErr w:type="gramStart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życia</w:t>
            </w:r>
            <w:proofErr w:type="gramEnd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B_W03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Zna najczęściej stosowane zabiegi resuscytacyjne.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B_W04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8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Charakteryzuje zasady opieki pielęgniarskiej nad chorym w intensywnej opiece neurotraumatologicznej, kardiologicznej oraz kardiochirurgicznej.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B_W05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8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Objaśnia specjalistyczne techniki diagnostyczne i terapeutyczne stosowane w intensywnej opiece neurochirurgicznej, kardiologicznej oraz kardiochirurgicznej.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B_W06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8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Zna patofizjologię oraz zasady postępowania w leczeniu najczęściej występujących przewlekłych ran: </w:t>
            </w:r>
            <w:proofErr w:type="spellStart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odmrożeń</w:t>
            </w:r>
            <w:proofErr w:type="spellEnd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owrzodzenia żylnego, owrzodzenia niedokrwiennego, odleżyn, zespołu stopy cukrzycowej, powikłanej rany urazowej.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B_W07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8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Różnicuje metody nieoperacyjnego i operacyjnego leczenia przewlekłych ran</w:t>
            </w:r>
            <w:proofErr w:type="gramStart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,w</w:t>
            </w:r>
            <w:proofErr w:type="gramEnd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tym wyjaśnia rolę </w:t>
            </w:r>
            <w:proofErr w:type="spellStart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hiperbarii</w:t>
            </w:r>
            <w:proofErr w:type="spellEnd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tlenowej oraz terapii podciśnieniowej w tym procesie.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B_W08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8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Zna strefy histopatologiczne urazu termicznego, kwalifikację ran </w:t>
            </w:r>
            <w:proofErr w:type="spellStart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oparzeniowych,składowe</w:t>
            </w:r>
            <w:proofErr w:type="spellEnd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leczenia ciężkiego oparzenia oraz zasady </w:t>
            </w:r>
            <w:proofErr w:type="gramStart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profilaktyki,  rozpoznawania</w:t>
            </w:r>
            <w:proofErr w:type="gramEnd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i leczenia zakażonej rany oparzeniowej.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B_W09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8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Charakteryzuje rodzaje pourazowych ubytków tkankowych oraz stosowanych zabiegów z dziedziny chirurgii rekonstrukcyjno-plastycznej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B_W10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8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Zna zasady funkcjonowania stacji dializ oraz technik nerkozastępczych</w:t>
            </w:r>
          </w:p>
        </w:tc>
      </w:tr>
      <w:tr w:rsidR="00841620" w:rsidRPr="00841620" w:rsidTr="00600454">
        <w:trPr>
          <w:trHeight w:val="70"/>
        </w:trPr>
        <w:tc>
          <w:tcPr>
            <w:tcW w:w="1003" w:type="pct"/>
          </w:tcPr>
          <w:p w:rsidR="00841620" w:rsidRPr="00841620" w:rsidRDefault="00841620" w:rsidP="00600454">
            <w:pPr>
              <w:spacing w:line="28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B_W11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8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Opisuje specjalistyczną opiekę pielęgniarską nad chorym w przebiegu leczenia nerkozastępczego.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B_W12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.Zna zasady domowego leczenia respiratorem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B_W13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Charakteryzuje specjalistyczną opiekę nad chorym w przewlekłych schorzeniach układu oddechowego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B_W14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Zna sytuację epidemiologiczną cukrzycy w Polsce i na świecie.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B_W15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Charakteryzuje profesjonalną opiekę pielęgniarską nad chorym z cukrzycą </w:t>
            </w: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i zespołem metabolicznym.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B_W16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Charakteryzuje profesjonalną opiekę pielęgniarską nad chorym z przetoką jelitową.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B_W17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Charakteryzuje profesjonalną opiekę pielęgniarską nad chorym z chorobą nowotworową.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B_W18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Charakteryzuje </w:t>
            </w:r>
            <w:proofErr w:type="gramStart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profesjonalną .opiekę</w:t>
            </w:r>
            <w:proofErr w:type="gramEnd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pielęgniarską nad chorym z chorobami krwi.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B_W19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Zna epidemiologię</w:t>
            </w:r>
            <w:proofErr w:type="gramStart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,etiopatogenezę</w:t>
            </w:r>
            <w:proofErr w:type="gramEnd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,obraz kliniczny i nowoczesne metody leczenia stwardnienia rozsianego.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B_W20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Zna procedury przeszczepu szpiku kostnego.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B_W21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Charakteryzuje profesjonalną opiekę pielęgniarską nad przewlekle chorym psychicznie i jego rodziną, w tym określa zasady pomocy i wsparcia w ramach świadczeń medyczno-społecznych oferowanych osobom z problemami zdrowia psychicznego i ich rodzinom (opiekunom</w:t>
            </w: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)oraz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zasady pozyskiwania środków na rozwój działań w ramach psychiatrii środowiskowej.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B_W22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regulacje prawne związane z odpłatnością za leki oraz refundacją wyrobów medycznych i środków spożywczych specjalnego przeznaczenia żywieniowego;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B_W23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zasady ordynowania leków zawierających określone substancje czynne, z wyłączeniem leków zawierających substancje bardzo silnie działające, środki odurzające i substancje psychotropowe;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B_W24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zasady ordynowania określonych wyrobów medycznych, w tym wystawiania na nie zleceń</w:t>
            </w:r>
          </w:p>
          <w:p w:rsidR="00841620" w:rsidRPr="00841620" w:rsidRDefault="00841620" w:rsidP="0060045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recept;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B_W25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główne mechanizmy działania leków oraz ich przemiany w ustroju zależnie od wieku i problemów zdrowotnych;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B_W26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proofErr w:type="gramEnd"/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 skutki i objawy uboczne działania leków zawierających określone substancje czynne.</w:t>
            </w:r>
          </w:p>
        </w:tc>
      </w:tr>
      <w:tr w:rsidR="00841620" w:rsidRPr="00841620" w:rsidTr="00600454">
        <w:trPr>
          <w:trHeight w:val="147"/>
        </w:trPr>
        <w:tc>
          <w:tcPr>
            <w:tcW w:w="5000" w:type="pct"/>
            <w:gridSpan w:val="2"/>
          </w:tcPr>
          <w:p w:rsidR="00841620" w:rsidRPr="00841620" w:rsidRDefault="00841620" w:rsidP="00600454">
            <w:pPr>
              <w:spacing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Umiejętności w zakresie nauk </w:t>
            </w:r>
            <w:r w:rsidRPr="0084162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t>obejmujących opiekę specjalistyczną absolwent: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B_U01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Wykorzystuje nowoczesne techniki obrazowania.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B_U02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Przygotowuje chorego do badań specjalistycznych, rozpoznaje powikłania i zapewnia opiekę po ich wykonaniu.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B_U03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Rozpoznaje problemy pielęgnacyjne oraz stosuje interwencje w opiece nad chorym w intensywnej opiece neurotraumatologicznej, kardiologicznej i kardiochirurgicznej.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B_U04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Dobiera i stosuje zaawansowane zabiegi resuscytacyjne w stanach zagrożenia życia.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B_U05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Ocenia i klasyfikuje przewlekłe rany, aplikuje środki stosowane w miejscowym leczeniu ran.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B_U06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Kontroluje efekty </w:t>
            </w:r>
            <w:proofErr w:type="spellStart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hiperbarii</w:t>
            </w:r>
            <w:proofErr w:type="spellEnd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tlenowej oraz podciśnieniowego leczenia ran.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B_U07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z w:val="24"/>
                <w:szCs w:val="24"/>
              </w:rPr>
              <w:t xml:space="preserve">Stosuje wysokospecjalistyczne interwencje w opiece nad chorym </w:t>
            </w:r>
            <w:r w:rsidRPr="00841620">
              <w:rPr>
                <w:rFonts w:ascii="Times New Roman" w:hAnsi="Times New Roman" w:cs="Times New Roman"/>
                <w:sz w:val="24"/>
                <w:szCs w:val="24"/>
              </w:rPr>
              <w:br/>
              <w:t>z rozległym i głębokim oparzeniem.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B_U08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Wykorzystuje wysokospecjalistyczne techniki nerkozastępcze.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B_U09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Realizuje proces pielęgnowania pacjenta z przewlekłymi chorobami układu oddechowego.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B_U10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Uczy pacjentów z cukrzycą i ich rodziny preferowanego stylu życia oraz dobiera indywidualne metody edukacji. 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B_U11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Uczy pacjentów z przetoką jelitową profilaktyki powikłań oraz doboru rodzaju sprzętu </w:t>
            </w:r>
            <w:proofErr w:type="spell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stomijnego</w:t>
            </w:r>
            <w:proofErr w:type="spell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B_U12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Realizuje proces pielęgnowania pacjenta ze schorzeniami naczyń.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B_U13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Proponuje działania związane z profilaktyką, metodami leczenia </w:t>
            </w: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br/>
              <w:t>i pielęgnowania chorego w przebiegu operacyjnego i nieoperacyjnego leczenia chorób naczyń.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5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B_U14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Współuczestniczy w procesie leczenia, pielęgnowania i rehabilitacji osób ze stwardnieniem rozsianym.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5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B_U15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Prowadzi edukację zdrowotną i udziela wsparcia choremu na chorobę nowotworową oraz jego opiekunom.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5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B_U16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Charakteryzuje zasady opieki nad chorym umierającym i jego rodziną.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5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B_U17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Prowadzi edukację zdrowotną pacjenta z chorobami krwi i jego rodziny.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5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B_U18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Współuczestniczy w procedurze przeszczepu szpiku kostnego.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5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B_U19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Prowadzi psychoedukację pacjentów z zaburzeniami psychicznymi i ich opiekunów, stosuje elementy psychoterapii dla osób z zaburzeniami psychicznymi, a także prowadzi treningi umiejętności </w:t>
            </w:r>
            <w:proofErr w:type="gramStart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społecznych jako</w:t>
            </w:r>
            <w:proofErr w:type="gramEnd"/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formy rehabilitacji psychiatrycznej.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5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B_U20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Rozpoznaje sytuację życiową pacjenta w celu zapobiegania jego izolacji społecznej.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5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B_U21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Wskazuje możliwości pomocy i wsparcia w ramach świadczeń medyczno-społecznych oferowanych osobie z zaburzeniami psychicznymi i jej opiekunom.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5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B_U22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Nawiązuje współpracę i korzysta z pomocy osób znaczących dla pacjenta.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5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B_U23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Potrafi dobierać i przygotowywać zapisy form recepturowych leków zawierających określone substancje czynne, na podstawie ukierunkowanej oceny stanu pacjenta;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5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B_U24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Potrafi interpretować charakterystyki farmaceutyczne produktów leczniczych;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5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B_U25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Posiada umiejętności umożliwiające ordynowanie określonych leków, środków spożywczych specjalnego przeznaczenia żywieniowego i wyrobów medycznych oraz wystawianie na nie recept albo zleceń;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5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B_U26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Potrafi prowadzić edukację pacjenta w zakresie stosowanej farmakoterapii.</w:t>
            </w:r>
          </w:p>
        </w:tc>
      </w:tr>
      <w:tr w:rsidR="00841620" w:rsidRPr="00841620" w:rsidTr="00600454">
        <w:trPr>
          <w:trHeight w:val="147"/>
        </w:trPr>
        <w:tc>
          <w:tcPr>
            <w:tcW w:w="5000" w:type="pct"/>
            <w:gridSpan w:val="2"/>
          </w:tcPr>
          <w:p w:rsidR="00841620" w:rsidRPr="00841620" w:rsidRDefault="00841620" w:rsidP="00600454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84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Efekty kształcenia w zakresie kompetencji społecznych absolwent: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B_K01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Ponosi odpowiedzialność za udział w podejmowaniu decyzji zawodowych.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B_K02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Krytycznie ocenia własne i cudze działania, przy zachowaniu szacunku dla różnic światopoglądowych i kulturowych.</w:t>
            </w:r>
          </w:p>
        </w:tc>
      </w:tr>
      <w:tr w:rsidR="00841620" w:rsidRPr="00841620" w:rsidTr="00600454">
        <w:trPr>
          <w:trHeight w:val="355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B_K03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Rozwiązuje dylematy etyczne w organizacji pracy własnej i zespołu.</w:t>
            </w:r>
          </w:p>
        </w:tc>
      </w:tr>
      <w:tr w:rsidR="00841620" w:rsidRPr="00841620" w:rsidTr="00600454">
        <w:trPr>
          <w:trHeight w:val="147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B_K04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Przestrzega </w:t>
            </w:r>
            <w:proofErr w:type="gramStart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praw</w:t>
            </w:r>
            <w:proofErr w:type="gramEnd"/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autorskich i praw podmiotu badań.</w:t>
            </w:r>
          </w:p>
        </w:tc>
      </w:tr>
      <w:tr w:rsidR="00841620" w:rsidRPr="00841620" w:rsidTr="00600454">
        <w:trPr>
          <w:trHeight w:val="293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B_K05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Ponosi odpowiedzialność za bezpieczeństwo własne i osób znajdujących się pod jego opieką.</w:t>
            </w:r>
          </w:p>
        </w:tc>
      </w:tr>
      <w:tr w:rsidR="00841620" w:rsidRPr="00841620" w:rsidTr="00600454">
        <w:trPr>
          <w:trHeight w:val="504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B_K06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Przestrzega zasad etyki zawodowej w relacji z pacjentem i zespołem terapeutycznym oraz w pracy badawczej.</w:t>
            </w:r>
          </w:p>
        </w:tc>
      </w:tr>
      <w:tr w:rsidR="00841620" w:rsidRPr="00841620" w:rsidTr="00600454">
        <w:trPr>
          <w:trHeight w:val="304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B_K07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Dba o wizerunek własnego zawodu.</w:t>
            </w:r>
          </w:p>
        </w:tc>
      </w:tr>
      <w:tr w:rsidR="00841620" w:rsidRPr="00841620" w:rsidTr="00600454">
        <w:trPr>
          <w:trHeight w:val="304"/>
        </w:trPr>
        <w:tc>
          <w:tcPr>
            <w:tcW w:w="1003" w:type="pct"/>
          </w:tcPr>
          <w:p w:rsidR="00841620" w:rsidRPr="00841620" w:rsidRDefault="00841620" w:rsidP="00600454">
            <w:pPr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B_K08</w:t>
            </w:r>
          </w:p>
        </w:tc>
        <w:tc>
          <w:tcPr>
            <w:tcW w:w="3997" w:type="pct"/>
          </w:tcPr>
          <w:p w:rsidR="00841620" w:rsidRPr="00841620" w:rsidRDefault="00841620" w:rsidP="00600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20">
              <w:rPr>
                <w:rFonts w:ascii="Times New Roman" w:hAnsi="Times New Roman" w:cs="Times New Roman"/>
                <w:sz w:val="24"/>
                <w:szCs w:val="24"/>
              </w:rPr>
              <w:t>Wykazuje profesjonalne podejście do strategii marketingowych przemysłu farmaceutycznego i reklamy jego produktów</w:t>
            </w:r>
          </w:p>
        </w:tc>
      </w:tr>
    </w:tbl>
    <w:p w:rsidR="00852550" w:rsidRPr="00841620" w:rsidRDefault="00852550" w:rsidP="008525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2550" w:rsidRPr="00841620" w:rsidRDefault="00852550" w:rsidP="00852550">
      <w:pPr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566E23" w:rsidRPr="00885CB0" w:rsidRDefault="0044484B" w:rsidP="00885CB0">
      <w:pPr>
        <w:pStyle w:val="Akapitzlist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85CB0">
        <w:rPr>
          <w:rFonts w:ascii="Times New Roman" w:hAnsi="Times New Roman" w:cs="Times New Roman"/>
          <w:b/>
          <w:sz w:val="24"/>
          <w:szCs w:val="24"/>
        </w:rPr>
        <w:t>Metody i formy kształcenia</w:t>
      </w:r>
      <w:r w:rsidRPr="00885CB0">
        <w:rPr>
          <w:rFonts w:ascii="Times New Roman" w:hAnsi="Times New Roman" w:cs="Times New Roman"/>
          <w:sz w:val="24"/>
          <w:szCs w:val="24"/>
        </w:rPr>
        <w:t xml:space="preserve">. </w:t>
      </w:r>
      <w:r w:rsidR="00566E23" w:rsidRPr="00885CB0">
        <w:rPr>
          <w:rFonts w:ascii="Times New Roman" w:hAnsi="Times New Roman" w:cs="Times New Roman"/>
          <w:sz w:val="24"/>
          <w:szCs w:val="24"/>
        </w:rPr>
        <w:t xml:space="preserve">W realizacji programu kształcenia na </w:t>
      </w:r>
      <w:proofErr w:type="gramStart"/>
      <w:r w:rsidR="00566E23" w:rsidRPr="00885CB0">
        <w:rPr>
          <w:rFonts w:ascii="Times New Roman" w:hAnsi="Times New Roman" w:cs="Times New Roman"/>
          <w:sz w:val="24"/>
          <w:szCs w:val="24"/>
        </w:rPr>
        <w:t xml:space="preserve">kierunku  </w:t>
      </w:r>
      <w:r w:rsidR="00841620" w:rsidRPr="00885CB0">
        <w:rPr>
          <w:rFonts w:ascii="Times New Roman" w:hAnsi="Times New Roman" w:cs="Times New Roman"/>
          <w:sz w:val="24"/>
          <w:szCs w:val="24"/>
        </w:rPr>
        <w:t>pielęgniarstwo</w:t>
      </w:r>
      <w:proofErr w:type="gramEnd"/>
      <w:r w:rsidR="00566E23" w:rsidRPr="00885CB0">
        <w:rPr>
          <w:rFonts w:ascii="Times New Roman" w:hAnsi="Times New Roman" w:cs="Times New Roman"/>
          <w:sz w:val="24"/>
          <w:szCs w:val="24"/>
        </w:rPr>
        <w:t xml:space="preserve"> wykorzystywane są następujące metody kształcenia:</w:t>
      </w:r>
    </w:p>
    <w:p w:rsidR="00566E23" w:rsidRPr="00C328D0" w:rsidRDefault="00566E23" w:rsidP="00F673AD">
      <w:pPr>
        <w:pStyle w:val="Akapitzlist"/>
        <w:numPr>
          <w:ilvl w:val="0"/>
          <w:numId w:val="15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8D0">
        <w:rPr>
          <w:rFonts w:ascii="Times New Roman" w:hAnsi="Times New Roman" w:cs="Times New Roman"/>
          <w:sz w:val="24"/>
          <w:szCs w:val="24"/>
        </w:rPr>
        <w:t>metody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podające (nabywanie umiejętności przez przyswajanie przek</w:t>
      </w:r>
      <w:r w:rsidR="00102AB2">
        <w:rPr>
          <w:rFonts w:ascii="Times New Roman" w:hAnsi="Times New Roman" w:cs="Times New Roman"/>
          <w:sz w:val="24"/>
          <w:szCs w:val="24"/>
        </w:rPr>
        <w:t xml:space="preserve">azywanej wiedzy, głównie </w:t>
      </w:r>
      <w:r w:rsidRPr="00C328D0">
        <w:rPr>
          <w:rFonts w:ascii="Times New Roman" w:hAnsi="Times New Roman" w:cs="Times New Roman"/>
          <w:sz w:val="24"/>
          <w:szCs w:val="24"/>
        </w:rPr>
        <w:t>wykłady),</w:t>
      </w:r>
    </w:p>
    <w:p w:rsidR="00566E23" w:rsidRPr="00C328D0" w:rsidRDefault="00566E23" w:rsidP="00F673AD">
      <w:pPr>
        <w:pStyle w:val="Akapitzlist"/>
        <w:numPr>
          <w:ilvl w:val="0"/>
          <w:numId w:val="15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8D0">
        <w:rPr>
          <w:rFonts w:ascii="Times New Roman" w:hAnsi="Times New Roman" w:cs="Times New Roman"/>
          <w:sz w:val="24"/>
          <w:szCs w:val="24"/>
        </w:rPr>
        <w:t>metody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problemowe (nabywanie umiejętności przez odkrywanie na podstawie wiedzy nabytej w drodze przekazu i wiedzy przyswojonej w ramach samodzielnej pracy własnej),</w:t>
      </w:r>
    </w:p>
    <w:p w:rsidR="00566E23" w:rsidRPr="00C328D0" w:rsidRDefault="00566E23" w:rsidP="00F673AD">
      <w:pPr>
        <w:pStyle w:val="Akapitzlist"/>
        <w:numPr>
          <w:ilvl w:val="0"/>
          <w:numId w:val="15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8D0">
        <w:rPr>
          <w:rFonts w:ascii="Times New Roman" w:hAnsi="Times New Roman" w:cs="Times New Roman"/>
          <w:sz w:val="24"/>
          <w:szCs w:val="24"/>
        </w:rPr>
        <w:t>metody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praktyczne (nabywanie umiejętności poprzez prakty</w:t>
      </w:r>
      <w:r w:rsidR="00102AB2">
        <w:rPr>
          <w:rFonts w:ascii="Times New Roman" w:hAnsi="Times New Roman" w:cs="Times New Roman"/>
          <w:sz w:val="24"/>
          <w:szCs w:val="24"/>
        </w:rPr>
        <w:t xml:space="preserve">czne działanie, głównie w ramach ćwiczeń </w:t>
      </w:r>
      <w:r w:rsidRPr="00C328D0">
        <w:rPr>
          <w:rFonts w:ascii="Times New Roman" w:hAnsi="Times New Roman" w:cs="Times New Roman"/>
          <w:sz w:val="24"/>
          <w:szCs w:val="24"/>
        </w:rPr>
        <w:t xml:space="preserve">laboratoryjnych, projektowych i audytoryjnych), </w:t>
      </w:r>
    </w:p>
    <w:p w:rsidR="00566E23" w:rsidRPr="00C328D0" w:rsidRDefault="00566E23" w:rsidP="00F673AD">
      <w:pPr>
        <w:tabs>
          <w:tab w:val="left" w:pos="390"/>
          <w:tab w:val="left" w:pos="567"/>
          <w:tab w:val="num" w:pos="709"/>
          <w:tab w:val="left" w:pos="1418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 xml:space="preserve">Na kierunku stosowane </w:t>
      </w:r>
      <w:proofErr w:type="gramStart"/>
      <w:r w:rsidRPr="00C328D0">
        <w:rPr>
          <w:rFonts w:ascii="Times New Roman" w:hAnsi="Times New Roman" w:cs="Times New Roman"/>
          <w:sz w:val="24"/>
          <w:szCs w:val="24"/>
        </w:rPr>
        <w:t>są zatem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następujące formy kształcenia:</w:t>
      </w:r>
    </w:p>
    <w:p w:rsidR="00566E23" w:rsidRPr="00C328D0" w:rsidRDefault="00566E23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8D0">
        <w:rPr>
          <w:rFonts w:ascii="Times New Roman" w:hAnsi="Times New Roman" w:cs="Times New Roman"/>
          <w:sz w:val="24"/>
          <w:szCs w:val="24"/>
        </w:rPr>
        <w:t>wykłady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(kursowe, specjalnościowe, do wyboru),</w:t>
      </w:r>
    </w:p>
    <w:p w:rsidR="00566E23" w:rsidRPr="00C328D0" w:rsidRDefault="00566E23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>ćwiczenia audytoryjne</w:t>
      </w:r>
      <w:r w:rsidR="00BB44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B449D">
        <w:rPr>
          <w:rFonts w:ascii="Times New Roman" w:hAnsi="Times New Roman" w:cs="Times New Roman"/>
          <w:sz w:val="24"/>
          <w:szCs w:val="24"/>
        </w:rPr>
        <w:t xml:space="preserve">warsztaty </w:t>
      </w:r>
      <w:r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="00510AAE">
        <w:rPr>
          <w:rFonts w:ascii="Times New Roman" w:hAnsi="Times New Roman" w:cs="Times New Roman"/>
          <w:sz w:val="24"/>
          <w:szCs w:val="24"/>
        </w:rPr>
        <w:t>metodą</w:t>
      </w:r>
      <w:proofErr w:type="gramEnd"/>
      <w:r w:rsidR="00510AAE">
        <w:rPr>
          <w:rFonts w:ascii="Times New Roman" w:hAnsi="Times New Roman" w:cs="Times New Roman"/>
          <w:sz w:val="24"/>
          <w:szCs w:val="24"/>
        </w:rPr>
        <w:t xml:space="preserve"> symulowaną</w:t>
      </w:r>
      <w:r w:rsidR="00BA5881">
        <w:rPr>
          <w:rFonts w:ascii="Times New Roman" w:hAnsi="Times New Roman" w:cs="Times New Roman"/>
          <w:sz w:val="24"/>
          <w:szCs w:val="24"/>
        </w:rPr>
        <w:t xml:space="preserve">, </w:t>
      </w:r>
      <w:r w:rsidRPr="00C328D0">
        <w:rPr>
          <w:rFonts w:ascii="Times New Roman" w:hAnsi="Times New Roman" w:cs="Times New Roman"/>
          <w:sz w:val="24"/>
          <w:szCs w:val="24"/>
        </w:rPr>
        <w:t xml:space="preserve"> (z elementami "burzy mózgów"),</w:t>
      </w:r>
    </w:p>
    <w:p w:rsidR="00566E23" w:rsidRPr="00C328D0" w:rsidRDefault="00566E23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8D0">
        <w:rPr>
          <w:rFonts w:ascii="Times New Roman" w:hAnsi="Times New Roman" w:cs="Times New Roman"/>
          <w:sz w:val="24"/>
          <w:szCs w:val="24"/>
        </w:rPr>
        <w:t>laboratoria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(ćwiczeniowe, informatyczne, językowe),</w:t>
      </w:r>
    </w:p>
    <w:p w:rsidR="00566E23" w:rsidRPr="00C328D0" w:rsidRDefault="00566E23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8D0">
        <w:rPr>
          <w:rFonts w:ascii="Times New Roman" w:hAnsi="Times New Roman" w:cs="Times New Roman"/>
          <w:sz w:val="24"/>
          <w:szCs w:val="24"/>
        </w:rPr>
        <w:t>seminaria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dyplomowe,</w:t>
      </w:r>
    </w:p>
    <w:p w:rsidR="00566E23" w:rsidRDefault="00566E23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8D0">
        <w:rPr>
          <w:rFonts w:ascii="Times New Roman" w:hAnsi="Times New Roman" w:cs="Times New Roman"/>
          <w:sz w:val="24"/>
          <w:szCs w:val="24"/>
        </w:rPr>
        <w:t>praktyki</w:t>
      </w:r>
      <w:proofErr w:type="gramEnd"/>
      <w:r w:rsidRPr="00C328D0">
        <w:rPr>
          <w:rFonts w:ascii="Times New Roman" w:hAnsi="Times New Roman" w:cs="Times New Roman"/>
          <w:sz w:val="24"/>
          <w:szCs w:val="24"/>
        </w:rPr>
        <w:t xml:space="preserve"> zawodowe,</w:t>
      </w:r>
    </w:p>
    <w:p w:rsidR="00BB449D" w:rsidRDefault="00BB449D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wyjazdy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studyjne,</w:t>
      </w:r>
    </w:p>
    <w:p w:rsidR="00510AAE" w:rsidRPr="00C328D0" w:rsidRDefault="00510AAE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lerning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66E23" w:rsidRPr="00B53A93" w:rsidRDefault="00566E23" w:rsidP="00F673AD">
      <w:pPr>
        <w:pStyle w:val="Akapitzlist"/>
        <w:numPr>
          <w:ilvl w:val="0"/>
          <w:numId w:val="16"/>
        </w:numPr>
        <w:tabs>
          <w:tab w:val="left" w:pos="390"/>
          <w:tab w:val="left" w:pos="567"/>
          <w:tab w:val="num" w:pos="709"/>
          <w:tab w:val="left" w:pos="1418"/>
        </w:tabs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A93">
        <w:rPr>
          <w:rFonts w:ascii="Times New Roman" w:hAnsi="Times New Roman" w:cs="Times New Roman"/>
          <w:sz w:val="24"/>
          <w:szCs w:val="24"/>
        </w:rPr>
        <w:lastRenderedPageBreak/>
        <w:t>ukierunkowywane</w:t>
      </w:r>
      <w:proofErr w:type="gramEnd"/>
      <w:r w:rsidRPr="00B53A93">
        <w:rPr>
          <w:rFonts w:ascii="Times New Roman" w:hAnsi="Times New Roman" w:cs="Times New Roman"/>
          <w:sz w:val="24"/>
          <w:szCs w:val="24"/>
        </w:rPr>
        <w:t xml:space="preserve"> przez nauczycieli akademickich - samokształcenie.</w:t>
      </w:r>
    </w:p>
    <w:p w:rsidR="00566E23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683B">
        <w:rPr>
          <w:rFonts w:ascii="Times New Roman" w:hAnsi="Times New Roman" w:cs="Times New Roman"/>
          <w:b/>
          <w:sz w:val="24"/>
          <w:szCs w:val="24"/>
        </w:rPr>
        <w:tab/>
      </w:r>
      <w:r w:rsidR="00566E23" w:rsidRPr="0044484B">
        <w:rPr>
          <w:rFonts w:ascii="Times New Roman" w:hAnsi="Times New Roman" w:cs="Times New Roman"/>
          <w:b/>
          <w:sz w:val="24"/>
          <w:szCs w:val="24"/>
        </w:rPr>
        <w:t>Wykłady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prowadzone są dla całego rocznika (</w:t>
      </w:r>
      <w:proofErr w:type="gramStart"/>
      <w:r w:rsidR="00566E23" w:rsidRPr="00C328D0">
        <w:rPr>
          <w:rFonts w:ascii="Times New Roman" w:hAnsi="Times New Roman" w:cs="Times New Roman"/>
          <w:sz w:val="24"/>
          <w:szCs w:val="24"/>
        </w:rPr>
        <w:t>do 1</w:t>
      </w:r>
      <w:r w:rsidR="00BB449D">
        <w:rPr>
          <w:rFonts w:ascii="Times New Roman" w:hAnsi="Times New Roman" w:cs="Times New Roman"/>
          <w:sz w:val="24"/>
          <w:szCs w:val="24"/>
        </w:rPr>
        <w:t>4</w:t>
      </w:r>
      <w:r w:rsidR="00566E23" w:rsidRPr="00C328D0">
        <w:rPr>
          <w:rFonts w:ascii="Times New Roman" w:hAnsi="Times New Roman" w:cs="Times New Roman"/>
          <w:sz w:val="24"/>
          <w:szCs w:val="24"/>
        </w:rPr>
        <w:t>0  studentów</w:t>
      </w:r>
      <w:proofErr w:type="gram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) w aulach wyposażonych w sprzęt multimedialny (prowadzący ma do dyspozycji komputer, projektor  i/lub  rzutnik  slajdów). </w:t>
      </w:r>
      <w:r w:rsidR="00B53A93">
        <w:rPr>
          <w:rFonts w:ascii="Times New Roman" w:hAnsi="Times New Roman" w:cs="Times New Roman"/>
          <w:sz w:val="24"/>
          <w:szCs w:val="24"/>
        </w:rPr>
        <w:t xml:space="preserve"> 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Zajęcia wykładowe służą głównie przekazywaniu i strukturyzacji wiedzy – prezentacji definicji, wyjaśnianiu pojęć i problemów. </w:t>
      </w:r>
      <w:r w:rsidR="00566E23" w:rsidRPr="00E21495">
        <w:rPr>
          <w:rFonts w:ascii="Times New Roman" w:hAnsi="Times New Roman" w:cs="Times New Roman"/>
          <w:b/>
          <w:sz w:val="24"/>
          <w:szCs w:val="24"/>
        </w:rPr>
        <w:t>Wykłady kursowe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pozwalają studentom nabyć umiejętności uchwycenia i zarejestrowania podstawowych treści z </w:t>
      </w:r>
      <w:r w:rsidR="00B53A93" w:rsidRPr="00C328D0">
        <w:rPr>
          <w:rFonts w:ascii="Times New Roman" w:hAnsi="Times New Roman" w:cs="Times New Roman"/>
          <w:sz w:val="24"/>
          <w:szCs w:val="24"/>
        </w:rPr>
        <w:t>zakresu dyscypliny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="00102AB2" w:rsidRPr="00C328D0">
        <w:rPr>
          <w:rFonts w:ascii="Times New Roman" w:hAnsi="Times New Roman" w:cs="Times New Roman"/>
          <w:sz w:val="24"/>
          <w:szCs w:val="24"/>
        </w:rPr>
        <w:t>naukowej, jaką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jest budownictwo. Umiejętności te są doskonalone na ćwiczeniach </w:t>
      </w:r>
      <w:r w:rsidR="00B53A93" w:rsidRPr="00C328D0">
        <w:rPr>
          <w:rFonts w:ascii="Times New Roman" w:hAnsi="Times New Roman" w:cs="Times New Roman"/>
          <w:sz w:val="24"/>
          <w:szCs w:val="24"/>
        </w:rPr>
        <w:t>projektowych, audytoryjnych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, </w:t>
      </w:r>
      <w:r w:rsidR="00BA5881">
        <w:rPr>
          <w:rFonts w:ascii="Times New Roman" w:hAnsi="Times New Roman" w:cs="Times New Roman"/>
          <w:sz w:val="24"/>
          <w:szCs w:val="24"/>
        </w:rPr>
        <w:t>warsztatach,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laboratoriach oraz w ramach pracy własnej studenta przez korzystanie z podręczników oraz właściwych stron www. </w:t>
      </w:r>
      <w:r w:rsidR="00566E23" w:rsidRPr="00E21495">
        <w:rPr>
          <w:rFonts w:ascii="Times New Roman" w:hAnsi="Times New Roman" w:cs="Times New Roman"/>
          <w:b/>
          <w:sz w:val="24"/>
          <w:szCs w:val="24"/>
        </w:rPr>
        <w:t>Wykłady specjalnościowe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poszerzają wiedzę kierunkową zgodnie z indywidualnymi zainteresowaniami studenta, który dokonał wyboru określonej specjalności. </w:t>
      </w:r>
      <w:r w:rsidR="00566E23" w:rsidRPr="00E21495">
        <w:rPr>
          <w:rFonts w:ascii="Times New Roman" w:hAnsi="Times New Roman" w:cs="Times New Roman"/>
          <w:b/>
          <w:sz w:val="24"/>
          <w:szCs w:val="24"/>
        </w:rPr>
        <w:t>Wykłady do wyboru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E23" w:rsidRPr="00C328D0">
        <w:rPr>
          <w:rFonts w:ascii="Times New Roman" w:hAnsi="Times New Roman" w:cs="Times New Roman"/>
          <w:sz w:val="24"/>
          <w:szCs w:val="24"/>
        </w:rPr>
        <w:t>poszerzają  horyzonty</w:t>
      </w:r>
      <w:proofErr w:type="gram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 myślowe studenta, ponieważ może on uczestniczyć</w:t>
      </w:r>
      <w:r w:rsidR="00BA5881">
        <w:rPr>
          <w:rFonts w:ascii="Times New Roman" w:hAnsi="Times New Roman" w:cs="Times New Roman"/>
          <w:sz w:val="24"/>
          <w:szCs w:val="24"/>
        </w:rPr>
        <w:t xml:space="preserve"> 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w zajęciach, których treści nie są ściśle związane z kierunkiem studiów. </w:t>
      </w:r>
    </w:p>
    <w:p w:rsidR="00566E23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683B">
        <w:rPr>
          <w:rFonts w:ascii="Times New Roman" w:hAnsi="Times New Roman" w:cs="Times New Roman"/>
          <w:b/>
          <w:sz w:val="24"/>
          <w:szCs w:val="24"/>
        </w:rPr>
        <w:tab/>
      </w:r>
      <w:r w:rsidR="00566E23" w:rsidRPr="0044484B">
        <w:rPr>
          <w:rFonts w:ascii="Times New Roman" w:hAnsi="Times New Roman" w:cs="Times New Roman"/>
          <w:b/>
          <w:sz w:val="24"/>
          <w:szCs w:val="24"/>
        </w:rPr>
        <w:t xml:space="preserve">Ćwiczenia 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prowadzone są w grupach liczących </w:t>
      </w:r>
      <w:r w:rsidR="00102AB2" w:rsidRPr="00C328D0">
        <w:rPr>
          <w:rFonts w:ascii="Times New Roman" w:hAnsi="Times New Roman" w:cs="Times New Roman"/>
          <w:sz w:val="24"/>
          <w:szCs w:val="24"/>
        </w:rPr>
        <w:t xml:space="preserve">od </w:t>
      </w:r>
      <w:r w:rsidR="00102AB2">
        <w:rPr>
          <w:rFonts w:ascii="Times New Roman" w:hAnsi="Times New Roman" w:cs="Times New Roman"/>
          <w:sz w:val="24"/>
          <w:szCs w:val="24"/>
        </w:rPr>
        <w:t>15</w:t>
      </w:r>
      <w:r w:rsidR="00102AB2" w:rsidRPr="00C328D0">
        <w:rPr>
          <w:rFonts w:ascii="Times New Roman" w:hAnsi="Times New Roman" w:cs="Times New Roman"/>
          <w:sz w:val="24"/>
          <w:szCs w:val="24"/>
        </w:rPr>
        <w:t xml:space="preserve"> do 30 studentów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, </w:t>
      </w:r>
      <w:r w:rsidR="00102AB2" w:rsidRPr="00C328D0">
        <w:rPr>
          <w:rFonts w:ascii="Times New Roman" w:hAnsi="Times New Roman" w:cs="Times New Roman"/>
          <w:sz w:val="24"/>
          <w:szCs w:val="24"/>
        </w:rPr>
        <w:t>audytory</w:t>
      </w:r>
      <w:r w:rsidR="00102AB2">
        <w:rPr>
          <w:rFonts w:ascii="Times New Roman" w:hAnsi="Times New Roman" w:cs="Times New Roman"/>
          <w:sz w:val="24"/>
          <w:szCs w:val="24"/>
        </w:rPr>
        <w:t>jne w</w:t>
      </w:r>
      <w:r w:rsidR="00E21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495">
        <w:rPr>
          <w:rFonts w:ascii="Times New Roman" w:hAnsi="Times New Roman" w:cs="Times New Roman"/>
          <w:sz w:val="24"/>
          <w:szCs w:val="24"/>
        </w:rPr>
        <w:t>grupach  od</w:t>
      </w:r>
      <w:proofErr w:type="gramEnd"/>
      <w:r w:rsidR="00E21495">
        <w:rPr>
          <w:rFonts w:ascii="Times New Roman" w:hAnsi="Times New Roman" w:cs="Times New Roman"/>
          <w:sz w:val="24"/>
          <w:szCs w:val="24"/>
        </w:rPr>
        <w:t xml:space="preserve"> 24  do 36 s</w:t>
      </w:r>
      <w:r w:rsidR="00E21495" w:rsidRPr="00C328D0">
        <w:rPr>
          <w:rFonts w:ascii="Times New Roman" w:hAnsi="Times New Roman" w:cs="Times New Roman"/>
          <w:sz w:val="24"/>
          <w:szCs w:val="24"/>
        </w:rPr>
        <w:t>tudentów, laboratoryjne od</w:t>
      </w:r>
      <w:r w:rsidR="00BA5881">
        <w:rPr>
          <w:rFonts w:ascii="Times New Roman" w:hAnsi="Times New Roman" w:cs="Times New Roman"/>
          <w:sz w:val="24"/>
          <w:szCs w:val="24"/>
        </w:rPr>
        <w:t xml:space="preserve">  15</w:t>
      </w:r>
      <w:r w:rsidR="00E21495">
        <w:rPr>
          <w:rFonts w:ascii="Times New Roman" w:hAnsi="Times New Roman" w:cs="Times New Roman"/>
          <w:sz w:val="24"/>
          <w:szCs w:val="24"/>
        </w:rPr>
        <w:t xml:space="preserve"> do 30</w:t>
      </w:r>
      <w:r w:rsidR="00E21495" w:rsidRPr="00C328D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. Prowadzący oraz studenci - w zależności od potrzeb - </w:t>
      </w:r>
      <w:r w:rsidR="00BB449D" w:rsidRPr="00C328D0">
        <w:rPr>
          <w:rFonts w:ascii="Times New Roman" w:hAnsi="Times New Roman" w:cs="Times New Roman"/>
          <w:sz w:val="24"/>
          <w:szCs w:val="24"/>
        </w:rPr>
        <w:t>dysponują stosowanym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wyposażeniem </w:t>
      </w:r>
      <w:proofErr w:type="spellStart"/>
      <w:r w:rsidR="00566E23" w:rsidRPr="00C328D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="00BB449D">
        <w:rPr>
          <w:rFonts w:ascii="Times New Roman" w:hAnsi="Times New Roman" w:cs="Times New Roman"/>
          <w:sz w:val="24"/>
          <w:szCs w:val="24"/>
        </w:rPr>
        <w:t xml:space="preserve">dydaktycznych, </w:t>
      </w:r>
      <w:r w:rsidR="00E21495">
        <w:rPr>
          <w:rFonts w:ascii="Times New Roman" w:hAnsi="Times New Roman" w:cs="Times New Roman"/>
          <w:sz w:val="24"/>
          <w:szCs w:val="24"/>
        </w:rPr>
        <w:t xml:space="preserve">wyposażonych </w:t>
      </w:r>
      <w:r w:rsidR="00BB449D">
        <w:rPr>
          <w:rFonts w:ascii="Times New Roman" w:hAnsi="Times New Roman" w:cs="Times New Roman"/>
          <w:sz w:val="24"/>
          <w:szCs w:val="24"/>
        </w:rPr>
        <w:t xml:space="preserve">w </w:t>
      </w:r>
      <w:r w:rsidR="00BB449D" w:rsidRPr="00C328D0">
        <w:rPr>
          <w:rFonts w:ascii="Times New Roman" w:hAnsi="Times New Roman" w:cs="Times New Roman"/>
          <w:sz w:val="24"/>
          <w:szCs w:val="24"/>
        </w:rPr>
        <w:t>komputer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sprzężony z projektorem.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Ćwiczenia są aktywną formą zajęć dydaktycznych, w </w:t>
      </w:r>
      <w:r w:rsidR="00BB449D" w:rsidRPr="00C328D0">
        <w:rPr>
          <w:rFonts w:ascii="Times New Roman" w:hAnsi="Times New Roman" w:cs="Times New Roman"/>
          <w:sz w:val="24"/>
          <w:szCs w:val="24"/>
        </w:rPr>
        <w:t>czasie, których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studenci samodzielnie próbują rozwiązać postawione problemy, a w razie potrzeby korzystają z pomocy prowadzącego. Na ćwiczeniach audytoryjnych, a w szczególności na laboratoriach i seminariach większy nacisk jest położony na metody problemowe i praktyczne oraz wykorzystywanie aktywizujących form prowadzenia zajęć. Należą do nich: dyskusja, praca w grupie, </w:t>
      </w:r>
      <w:proofErr w:type="gramStart"/>
      <w:r w:rsidR="00566E23" w:rsidRPr="00C328D0">
        <w:rPr>
          <w:rFonts w:ascii="Times New Roman" w:hAnsi="Times New Roman" w:cs="Times New Roman"/>
          <w:sz w:val="24"/>
          <w:szCs w:val="24"/>
        </w:rPr>
        <w:t>projektowanie  indywidualne</w:t>
      </w:r>
      <w:proofErr w:type="gram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 lub zespołowe, prezentacje multimedialne, przygotowywanie i prezentacja referatów.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Zajęcia ćwiczeniowe, laboratoryjne i seminaryjne pozwalają na nawiązanie dwustronnej komunikacji ze studentami i dają możliwość oceny nie tylko stopnia zapamiętywania wiadomości, ale także ich rozumienia. </w:t>
      </w:r>
    </w:p>
    <w:p w:rsidR="00566E23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566E23" w:rsidRPr="00C328D0">
        <w:rPr>
          <w:rFonts w:ascii="Times New Roman" w:hAnsi="Times New Roman" w:cs="Times New Roman"/>
          <w:sz w:val="24"/>
          <w:szCs w:val="24"/>
        </w:rPr>
        <w:t>Ważne jest zapewnienie komunikacji pomiędzy prowadzącym za</w:t>
      </w:r>
      <w:r w:rsidR="00BA5881">
        <w:rPr>
          <w:rFonts w:ascii="Times New Roman" w:hAnsi="Times New Roman" w:cs="Times New Roman"/>
          <w:sz w:val="24"/>
          <w:szCs w:val="24"/>
        </w:rPr>
        <w:t>jęcia z tą samą grupą studentów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="00BA5881" w:rsidRPr="00C328D0">
        <w:rPr>
          <w:rFonts w:ascii="Times New Roman" w:hAnsi="Times New Roman" w:cs="Times New Roman"/>
          <w:sz w:val="24"/>
          <w:szCs w:val="24"/>
        </w:rPr>
        <w:t>tak, aby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spostrzeżenia dotyczące realizacji celów kształcenia były przekazywane na bieżąco. Osiąga się to przez umowne „przypisane” </w:t>
      </w:r>
      <w:r w:rsidR="00102AB2" w:rsidRPr="00C328D0">
        <w:rPr>
          <w:rFonts w:ascii="Times New Roman" w:hAnsi="Times New Roman" w:cs="Times New Roman"/>
          <w:sz w:val="24"/>
          <w:szCs w:val="24"/>
        </w:rPr>
        <w:t>nauczyciela akademickiego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do określonej grupy oraz koordynację zajęć ćwiczeniowych z tego samego przedmiotu w sytuacji, gdy zajęcia w grupach są prowadzone przez różnych </w:t>
      </w:r>
      <w:r w:rsidR="00566E23" w:rsidRPr="00C328D0">
        <w:rPr>
          <w:rFonts w:ascii="Times New Roman" w:hAnsi="Times New Roman" w:cs="Times New Roman"/>
          <w:sz w:val="24"/>
          <w:szCs w:val="24"/>
        </w:rPr>
        <w:lastRenderedPageBreak/>
        <w:t xml:space="preserve">nauczycieli akademickich. Problem komunikacji rozwiązany jest przez wyznaczanie dla każdego przedmiotu koordynatora, którym z reguły jest osoba prowadząca wykład </w:t>
      </w:r>
      <w:proofErr w:type="gramStart"/>
      <w:r w:rsidR="00566E23" w:rsidRPr="00C328D0">
        <w:rPr>
          <w:rFonts w:ascii="Times New Roman" w:hAnsi="Times New Roman" w:cs="Times New Roman"/>
          <w:sz w:val="24"/>
          <w:szCs w:val="24"/>
        </w:rPr>
        <w:t>lub  ich</w:t>
      </w:r>
      <w:proofErr w:type="gram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 moduł . </w:t>
      </w:r>
    </w:p>
    <w:p w:rsidR="00566E23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683B">
        <w:rPr>
          <w:rFonts w:ascii="Times New Roman" w:hAnsi="Times New Roman" w:cs="Times New Roman"/>
          <w:b/>
          <w:sz w:val="24"/>
          <w:szCs w:val="24"/>
        </w:rPr>
        <w:tab/>
      </w:r>
      <w:r w:rsidR="00E21495" w:rsidRPr="00E21495">
        <w:rPr>
          <w:rFonts w:ascii="Times New Roman" w:hAnsi="Times New Roman" w:cs="Times New Roman"/>
          <w:b/>
          <w:sz w:val="24"/>
          <w:szCs w:val="24"/>
        </w:rPr>
        <w:t>Ćwiczenia</w:t>
      </w:r>
      <w:r w:rsidR="00566E23" w:rsidRPr="00E21495">
        <w:rPr>
          <w:rFonts w:ascii="Times New Roman" w:hAnsi="Times New Roman" w:cs="Times New Roman"/>
          <w:b/>
          <w:sz w:val="24"/>
          <w:szCs w:val="24"/>
        </w:rPr>
        <w:t xml:space="preserve"> laboratoryjne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są jedną z najbardziej praktycznych form zajęć dydaktycznych. </w:t>
      </w:r>
    </w:p>
    <w:p w:rsidR="00566E23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A683B">
        <w:rPr>
          <w:rFonts w:ascii="Times New Roman" w:hAnsi="Times New Roman" w:cs="Times New Roman"/>
          <w:b/>
          <w:sz w:val="24"/>
          <w:szCs w:val="24"/>
        </w:rPr>
        <w:tab/>
      </w:r>
      <w:r w:rsidR="00566E23" w:rsidRPr="0013390A">
        <w:rPr>
          <w:rFonts w:ascii="Times New Roman" w:hAnsi="Times New Roman" w:cs="Times New Roman"/>
          <w:b/>
          <w:sz w:val="24"/>
          <w:szCs w:val="24"/>
        </w:rPr>
        <w:t>Seminaria dyplomowe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są formą zajęć związanych z przygotowaniem i przedstawieniem pracy dyplomowej studenta. Na seminariach dyplomowych student </w:t>
      </w:r>
      <w:r w:rsidR="00102AB2" w:rsidRPr="00C328D0">
        <w:rPr>
          <w:rFonts w:ascii="Times New Roman" w:hAnsi="Times New Roman" w:cs="Times New Roman"/>
          <w:sz w:val="24"/>
          <w:szCs w:val="24"/>
        </w:rPr>
        <w:t>nabywa m</w:t>
      </w:r>
      <w:r w:rsidR="00566E23" w:rsidRPr="00C328D0">
        <w:rPr>
          <w:rFonts w:ascii="Times New Roman" w:hAnsi="Times New Roman" w:cs="Times New Roman"/>
          <w:sz w:val="24"/>
          <w:szCs w:val="24"/>
        </w:rPr>
        <w:t>.</w:t>
      </w:r>
      <w:r w:rsidR="00102AB2" w:rsidRPr="00C328D0">
        <w:rPr>
          <w:rFonts w:ascii="Times New Roman" w:hAnsi="Times New Roman" w:cs="Times New Roman"/>
          <w:sz w:val="24"/>
          <w:szCs w:val="24"/>
        </w:rPr>
        <w:t>in. umiejętność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="00102AB2" w:rsidRPr="00C328D0">
        <w:rPr>
          <w:rFonts w:ascii="Times New Roman" w:hAnsi="Times New Roman" w:cs="Times New Roman"/>
          <w:sz w:val="24"/>
          <w:szCs w:val="24"/>
        </w:rPr>
        <w:t>zaplanowania układu</w:t>
      </w:r>
      <w:r w:rsidR="00566E23" w:rsidRPr="00C328D0">
        <w:rPr>
          <w:rFonts w:ascii="Times New Roman" w:hAnsi="Times New Roman" w:cs="Times New Roman"/>
          <w:sz w:val="24"/>
          <w:szCs w:val="24"/>
        </w:rPr>
        <w:t>/</w:t>
      </w:r>
      <w:r w:rsidR="00102AB2" w:rsidRPr="00C328D0">
        <w:rPr>
          <w:rFonts w:ascii="Times New Roman" w:hAnsi="Times New Roman" w:cs="Times New Roman"/>
          <w:sz w:val="24"/>
          <w:szCs w:val="24"/>
        </w:rPr>
        <w:t>zawartości swojej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pracy </w:t>
      </w:r>
      <w:r w:rsidR="00102AB2" w:rsidRPr="00C328D0">
        <w:rPr>
          <w:rFonts w:ascii="Times New Roman" w:hAnsi="Times New Roman" w:cs="Times New Roman"/>
          <w:sz w:val="24"/>
          <w:szCs w:val="24"/>
        </w:rPr>
        <w:t>dyplomowej, syntetycznej wypowiedzi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, korzystania z literatury, pozyskiwania informacji i przygotowywania zwartych opracowań pisemnych.   </w:t>
      </w:r>
      <w:r w:rsidR="00102AB2" w:rsidRPr="00C328D0">
        <w:rPr>
          <w:rFonts w:ascii="Times New Roman" w:hAnsi="Times New Roman" w:cs="Times New Roman"/>
          <w:sz w:val="24"/>
          <w:szCs w:val="24"/>
        </w:rPr>
        <w:t>Uwieńczeniem seminarium stanowi opracowanie - indywidualne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lub zespołowe - pracy dyplomowej na poziomie inżynierskim - I stopnia. </w:t>
      </w:r>
    </w:p>
    <w:p w:rsidR="00566E23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Dzięki tej formie </w:t>
      </w:r>
      <w:r w:rsidR="00102AB2" w:rsidRPr="00C328D0">
        <w:rPr>
          <w:rFonts w:ascii="Times New Roman" w:hAnsi="Times New Roman" w:cs="Times New Roman"/>
          <w:sz w:val="24"/>
          <w:szCs w:val="24"/>
        </w:rPr>
        <w:t>zajęć promotorzy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prowadzący seminaria </w:t>
      </w:r>
      <w:r w:rsidR="00102AB2" w:rsidRPr="00C328D0">
        <w:rPr>
          <w:rFonts w:ascii="Times New Roman" w:hAnsi="Times New Roman" w:cs="Times New Roman"/>
          <w:sz w:val="24"/>
          <w:szCs w:val="24"/>
        </w:rPr>
        <w:t>ukierunkowują studentów na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="00102AB2" w:rsidRPr="00C328D0">
        <w:rPr>
          <w:rFonts w:ascii="Times New Roman" w:hAnsi="Times New Roman" w:cs="Times New Roman"/>
          <w:sz w:val="24"/>
          <w:szCs w:val="24"/>
        </w:rPr>
        <w:t>samodzielne korzystanie ze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źródeł literatury fachowej, informują o formie i stylu pisania pracy, podaje przykładowe tematy, które mogą zostać </w:t>
      </w:r>
      <w:proofErr w:type="gramStart"/>
      <w:r w:rsidR="00566E23" w:rsidRPr="00C328D0">
        <w:rPr>
          <w:rFonts w:ascii="Times New Roman" w:hAnsi="Times New Roman" w:cs="Times New Roman"/>
          <w:sz w:val="24"/>
          <w:szCs w:val="24"/>
        </w:rPr>
        <w:t>realizowane  w</w:t>
      </w:r>
      <w:proofErr w:type="gram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 formie  inżynierskiej pracy dyplomowej, o praktycznym charakterze. </w:t>
      </w:r>
    </w:p>
    <w:p w:rsidR="00566E23" w:rsidRPr="00C328D0" w:rsidRDefault="000A683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A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6E23" w:rsidRPr="00C328D0">
        <w:rPr>
          <w:rFonts w:ascii="Times New Roman" w:hAnsi="Times New Roman" w:cs="Times New Roman"/>
          <w:sz w:val="24"/>
          <w:szCs w:val="24"/>
        </w:rPr>
        <w:t>Pomocną  przy</w:t>
      </w:r>
      <w:proofErr w:type="gramEnd"/>
      <w:r w:rsidR="00566E23" w:rsidRPr="00C328D0">
        <w:rPr>
          <w:rFonts w:ascii="Times New Roman" w:hAnsi="Times New Roman" w:cs="Times New Roman"/>
          <w:sz w:val="24"/>
          <w:szCs w:val="24"/>
        </w:rPr>
        <w:t xml:space="preserve"> ich opracowywaniu wiedzę i umiejętności praktyczne studenci zdobywają za pomocą praktyk zawodowych odbytych i/lub odbywanych w trakcie studiów w różnych podmiotach gospodarczych.</w:t>
      </w:r>
    </w:p>
    <w:p w:rsidR="00566E23" w:rsidRPr="00C328D0" w:rsidRDefault="000A683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7AEB">
        <w:rPr>
          <w:rFonts w:ascii="Times New Roman" w:hAnsi="Times New Roman" w:cs="Times New Roman"/>
          <w:b/>
          <w:sz w:val="24"/>
          <w:szCs w:val="24"/>
        </w:rPr>
        <w:tab/>
      </w:r>
      <w:r w:rsidR="00566E23" w:rsidRPr="00BB449D">
        <w:rPr>
          <w:rFonts w:ascii="Times New Roman" w:hAnsi="Times New Roman" w:cs="Times New Roman"/>
          <w:b/>
          <w:sz w:val="24"/>
          <w:szCs w:val="24"/>
        </w:rPr>
        <w:t>Samokształcenie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jest uwzględnione w planie studiów </w:t>
      </w:r>
      <w:r w:rsidR="00102AB2" w:rsidRPr="00C328D0">
        <w:rPr>
          <w:rFonts w:ascii="Times New Roman" w:hAnsi="Times New Roman" w:cs="Times New Roman"/>
          <w:sz w:val="24"/>
          <w:szCs w:val="24"/>
        </w:rPr>
        <w:t>stacjonarnych, jako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samodzielna praca studenta pod opieką nauczyciela akademickiego. Celem tych zajęć jest aktywizowanie studentów do pracy poza godzinami zajęć dydaktycznych, kształtowanie umiejętności samodzielnego korzystania z literatury fachowej i wyszukiwania potrzebnych informacji, wdrożenie studentów do samodzielnego nabywania sprawności zawodowych i rozwiązywania problemów związanych z praktyką. </w:t>
      </w:r>
    </w:p>
    <w:p w:rsidR="00566E23" w:rsidRPr="0013390A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Samokształcenie odbywa się pod nadzorem nauczyciela akademickiego prowadzącego przedmiot między innymi w ramach udzielanych konsultacji. Organizacja zajęć umożliwia indywidualną ocenę pracy studenta uwzględnianą przy zaliczaniu przedmiotu. Realizacja zajęć obejmuje wybranie przez studenta zagadnienia do samokształcenia, samodzielne </w:t>
      </w:r>
      <w:r w:rsidR="00566E23" w:rsidRPr="0013390A">
        <w:rPr>
          <w:rFonts w:ascii="Times New Roman" w:hAnsi="Times New Roman" w:cs="Times New Roman"/>
          <w:sz w:val="24"/>
          <w:szCs w:val="24"/>
        </w:rPr>
        <w:t xml:space="preserve">studiowanie literatury źródłowej, </w:t>
      </w:r>
      <w:proofErr w:type="gramStart"/>
      <w:r w:rsidR="00566E23" w:rsidRPr="0013390A">
        <w:rPr>
          <w:rFonts w:ascii="Times New Roman" w:hAnsi="Times New Roman" w:cs="Times New Roman"/>
          <w:sz w:val="24"/>
          <w:szCs w:val="24"/>
        </w:rPr>
        <w:t>informacji  internetowych</w:t>
      </w:r>
      <w:proofErr w:type="gramEnd"/>
      <w:r w:rsidR="00566E23" w:rsidRPr="0013390A">
        <w:rPr>
          <w:rFonts w:ascii="Times New Roman" w:hAnsi="Times New Roman" w:cs="Times New Roman"/>
          <w:sz w:val="24"/>
          <w:szCs w:val="24"/>
        </w:rPr>
        <w:t xml:space="preserve"> , opracowanie zagadnienia  w formie konspektu  artykułu lub  samodzielnego opracowanie wybranego projektu inżynierskiego, na poziomie pozwalającym jego włączenie do pracy dyplomowej. </w:t>
      </w:r>
    </w:p>
    <w:p w:rsidR="00510AAE" w:rsidRDefault="00E57AEB" w:rsidP="00510AAE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566E23" w:rsidRPr="0013390A">
        <w:rPr>
          <w:rFonts w:ascii="Times New Roman" w:hAnsi="Times New Roman" w:cs="Times New Roman"/>
          <w:sz w:val="24"/>
          <w:szCs w:val="24"/>
        </w:rPr>
        <w:t xml:space="preserve">Wdrażaną, względnie nową formą prowadzenia zajęć - wymagającą od </w:t>
      </w:r>
      <w:proofErr w:type="gramStart"/>
      <w:r w:rsidR="00566E23" w:rsidRPr="0013390A">
        <w:rPr>
          <w:rFonts w:ascii="Times New Roman" w:hAnsi="Times New Roman" w:cs="Times New Roman"/>
          <w:sz w:val="24"/>
          <w:szCs w:val="24"/>
        </w:rPr>
        <w:t>studenta  odpowiedniego</w:t>
      </w:r>
      <w:proofErr w:type="gramEnd"/>
      <w:r w:rsidR="00566E23" w:rsidRPr="0013390A">
        <w:rPr>
          <w:rFonts w:ascii="Times New Roman" w:hAnsi="Times New Roman" w:cs="Times New Roman"/>
          <w:sz w:val="24"/>
          <w:szCs w:val="24"/>
        </w:rPr>
        <w:t xml:space="preserve">, antycypacyjnego przygotowania, w trybie samokształceniowym  -   jest  zapowiadanie na danych zajęciach  przedmiotu/istoty kolejnych zajęć.   </w:t>
      </w:r>
    </w:p>
    <w:p w:rsidR="00566E23" w:rsidRPr="00510AAE" w:rsidRDefault="00566E23" w:rsidP="00510AAE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A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0AAE" w:rsidRPr="00510AAE">
        <w:rPr>
          <w:rFonts w:ascii="Times New Roman" w:hAnsi="Times New Roman" w:cs="Times New Roman"/>
          <w:b/>
          <w:sz w:val="24"/>
          <w:szCs w:val="24"/>
        </w:rPr>
        <w:t>E-learning</w:t>
      </w:r>
      <w:r w:rsidR="00510AAE" w:rsidRPr="00510AAE">
        <w:rPr>
          <w:rFonts w:ascii="Times New Roman" w:hAnsi="Times New Roman" w:cs="Times New Roman"/>
          <w:sz w:val="24"/>
          <w:szCs w:val="24"/>
        </w:rPr>
        <w:t xml:space="preserve"> to nowoczesna metoda przekazywania wiedzy, wykorzystująca bogaty zestaw środków elektronicznej transmisji informacji, w tym Internet, technologię ekstranetu i intranetu, nagrania audio i wideo. E-learning </w:t>
      </w:r>
      <w:r w:rsidR="00510AAE">
        <w:rPr>
          <w:rFonts w:ascii="Times New Roman" w:hAnsi="Times New Roman" w:cs="Times New Roman"/>
          <w:sz w:val="24"/>
          <w:szCs w:val="24"/>
        </w:rPr>
        <w:t>to</w:t>
      </w:r>
      <w:r w:rsidR="00510AAE" w:rsidRPr="00510AAE">
        <w:rPr>
          <w:rFonts w:ascii="Times New Roman" w:hAnsi="Times New Roman" w:cs="Times New Roman"/>
          <w:sz w:val="24"/>
          <w:szCs w:val="24"/>
        </w:rPr>
        <w:t xml:space="preserve"> zdalne nauczanie wykorzystywa</w:t>
      </w:r>
      <w:r w:rsidR="00510AAE">
        <w:rPr>
          <w:rFonts w:ascii="Times New Roman" w:hAnsi="Times New Roman" w:cs="Times New Roman"/>
          <w:sz w:val="24"/>
          <w:szCs w:val="24"/>
        </w:rPr>
        <w:t>ne</w:t>
      </w:r>
      <w:r w:rsidR="00510AAE" w:rsidRPr="00510AAE">
        <w:rPr>
          <w:rFonts w:ascii="Times New Roman" w:hAnsi="Times New Roman" w:cs="Times New Roman"/>
          <w:sz w:val="24"/>
          <w:szCs w:val="24"/>
        </w:rPr>
        <w:t xml:space="preserve"> jak i metodę uzupełniającą tradycyjne metody nauczania.</w:t>
      </w:r>
    </w:p>
    <w:p w:rsidR="00566E23" w:rsidRPr="00C328D0" w:rsidRDefault="000A683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7AEB">
        <w:rPr>
          <w:rFonts w:ascii="Times New Roman" w:hAnsi="Times New Roman" w:cs="Times New Roman"/>
          <w:b/>
          <w:sz w:val="24"/>
          <w:szCs w:val="24"/>
        </w:rPr>
        <w:tab/>
      </w:r>
      <w:r w:rsidR="00566E23" w:rsidRPr="00BB449D">
        <w:rPr>
          <w:rFonts w:ascii="Times New Roman" w:hAnsi="Times New Roman" w:cs="Times New Roman"/>
          <w:b/>
          <w:sz w:val="24"/>
          <w:szCs w:val="24"/>
        </w:rPr>
        <w:t>Konsultacje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- na początku roku akademickiego wykładowcy podają do wiadomości studentom terminy, godziny i miejsce konsultacji. Istnieje również możliwość mailowego </w:t>
      </w:r>
      <w:r w:rsidR="00102AB2" w:rsidRPr="00C328D0">
        <w:rPr>
          <w:rFonts w:ascii="Times New Roman" w:hAnsi="Times New Roman" w:cs="Times New Roman"/>
          <w:sz w:val="24"/>
          <w:szCs w:val="24"/>
        </w:rPr>
        <w:t>kontaktowania się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z prowadzącymi zajęcia. Zazwyczaj konsultacje odbywają się w dniach, w których prowadzący mają zajęcia, po ich zakończeniu. Bardzo często nauczyciele akademiccy wyznaczają terminy konsultacji po południu w piątki poprzedzające terminy zjazdów ze studentami studiów niestacjonarnych.</w:t>
      </w:r>
    </w:p>
    <w:p w:rsidR="00566E23" w:rsidRPr="00BB449D" w:rsidRDefault="00566E23" w:rsidP="00885CB0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5F42"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  <w:r w:rsidRPr="00BB449D">
        <w:rPr>
          <w:rFonts w:ascii="Times New Roman" w:hAnsi="Times New Roman" w:cs="Times New Roman"/>
          <w:sz w:val="24"/>
          <w:szCs w:val="24"/>
        </w:rPr>
        <w:t xml:space="preserve"> jest ściśle powiązany z metodami i formami kształcenia. Weryfikacja osiągnięć studentów uwzględnia wszystkie trzy aspekty kształcenia (wiedza, umiejętności, kompetencje). </w:t>
      </w:r>
    </w:p>
    <w:p w:rsidR="00854CC5" w:rsidRDefault="00E57AEB" w:rsidP="00117E4C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Szczegóły sposobów oraz forma weryfikacji efektów kształcenia zawierają </w:t>
      </w:r>
      <w:r w:rsidR="00102AB2" w:rsidRPr="00C328D0">
        <w:rPr>
          <w:rFonts w:ascii="Times New Roman" w:hAnsi="Times New Roman" w:cs="Times New Roman"/>
          <w:sz w:val="24"/>
          <w:szCs w:val="24"/>
        </w:rPr>
        <w:t>poszczególne sylabusy</w:t>
      </w:r>
      <w:r w:rsidR="00F95F42">
        <w:rPr>
          <w:rFonts w:ascii="Times New Roman" w:hAnsi="Times New Roman" w:cs="Times New Roman"/>
          <w:sz w:val="24"/>
          <w:szCs w:val="24"/>
        </w:rPr>
        <w:t>.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</w:t>
      </w:r>
      <w:r w:rsidR="00F95F42" w:rsidRPr="00C328D0">
        <w:rPr>
          <w:rFonts w:ascii="Times New Roman" w:hAnsi="Times New Roman" w:cs="Times New Roman"/>
          <w:sz w:val="24"/>
          <w:szCs w:val="24"/>
        </w:rPr>
        <w:t>Każdy, bowiem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z ww. aspektów w różnym zakresie jest realizowany przy poszczególnych przedmiotach i każdy z nich wymaga innego sposobu sprawdzenia efektów do weryfikacji nabytych umiejętności i kompetencji wykorzystuje się rożne metody, adekwatne do realizowanych treści programowych oraz metod i form kształcenia w ramach konkretnych zajęć.</w:t>
      </w:r>
    </w:p>
    <w:p w:rsidR="00F6170A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117E4C">
        <w:rPr>
          <w:rFonts w:ascii="Times New Roman" w:hAnsi="Times New Roman" w:cs="Times New Roman"/>
          <w:sz w:val="24"/>
          <w:szCs w:val="24"/>
        </w:rPr>
        <w:t>pielęgniarstwo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weryfikacja efektów kształcenia odbywa się na podstawie głównie </w:t>
      </w:r>
      <w:r w:rsidR="00F95F42" w:rsidRPr="00C328D0">
        <w:rPr>
          <w:rFonts w:ascii="Times New Roman" w:hAnsi="Times New Roman" w:cs="Times New Roman"/>
          <w:sz w:val="24"/>
          <w:szCs w:val="24"/>
        </w:rPr>
        <w:t>egzaminów w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formie pisemnej i/lub testowych, kolokwiów, oceny opracowań w formie projektów </w:t>
      </w:r>
      <w:r w:rsidR="00F95F42" w:rsidRPr="00C328D0">
        <w:rPr>
          <w:rFonts w:ascii="Times New Roman" w:hAnsi="Times New Roman" w:cs="Times New Roman"/>
          <w:sz w:val="24"/>
          <w:szCs w:val="24"/>
        </w:rPr>
        <w:t>indywidualnych i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zespołowych, referatów, aktywności na zajęciach. W sporadycznych i indywidualnych przypadkach sprawdzanie nabytej wiedzy odbywa się w drodze egzaminów (</w:t>
      </w:r>
      <w:r w:rsidR="00F95F42" w:rsidRPr="00C328D0">
        <w:rPr>
          <w:rFonts w:ascii="Times New Roman" w:hAnsi="Times New Roman" w:cs="Times New Roman"/>
          <w:sz w:val="24"/>
          <w:szCs w:val="24"/>
        </w:rPr>
        <w:t>zaliczeń) ustnych</w:t>
      </w:r>
      <w:r w:rsidR="00566E23" w:rsidRPr="00C328D0">
        <w:rPr>
          <w:rFonts w:ascii="Times New Roman" w:hAnsi="Times New Roman" w:cs="Times New Roman"/>
          <w:sz w:val="24"/>
          <w:szCs w:val="24"/>
        </w:rPr>
        <w:t xml:space="preserve"> (w tym również egzaminów komisyjnych).</w:t>
      </w:r>
    </w:p>
    <w:p w:rsidR="00BE2CA6" w:rsidRPr="00C328D0" w:rsidRDefault="00E57AEB" w:rsidP="00F673AD">
      <w:pPr>
        <w:tabs>
          <w:tab w:val="left" w:pos="284"/>
          <w:tab w:val="left" w:pos="567"/>
          <w:tab w:val="num" w:pos="709"/>
          <w:tab w:val="left" w:pos="1418"/>
        </w:tabs>
        <w:spacing w:after="0" w:line="360" w:lineRule="auto"/>
        <w:ind w:left="567" w:hanging="425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83B">
        <w:rPr>
          <w:rFonts w:ascii="Times New Roman" w:hAnsi="Times New Roman" w:cs="Times New Roman"/>
          <w:sz w:val="24"/>
          <w:szCs w:val="24"/>
        </w:rPr>
        <w:tab/>
      </w:r>
      <w:r w:rsidR="00782014">
        <w:rPr>
          <w:rFonts w:ascii="Times New Roman" w:hAnsi="Times New Roman" w:cs="Times New Roman"/>
          <w:sz w:val="24"/>
          <w:szCs w:val="24"/>
        </w:rPr>
        <w:t xml:space="preserve"> </w:t>
      </w:r>
      <w:r w:rsidR="00BE2CA6">
        <w:rPr>
          <w:rFonts w:ascii="Times New Roman" w:hAnsi="Times New Roman" w:cs="Times New Roman"/>
          <w:sz w:val="24"/>
          <w:szCs w:val="24"/>
        </w:rPr>
        <w:t xml:space="preserve">Kolejną weryfikacją efektów </w:t>
      </w:r>
      <w:r w:rsidR="00102AB2">
        <w:rPr>
          <w:rFonts w:ascii="Times New Roman" w:hAnsi="Times New Roman" w:cs="Times New Roman"/>
          <w:sz w:val="24"/>
          <w:szCs w:val="24"/>
        </w:rPr>
        <w:t>kształcenia jest</w:t>
      </w:r>
      <w:r w:rsidR="00BE2CA6">
        <w:rPr>
          <w:rFonts w:ascii="Times New Roman" w:hAnsi="Times New Roman" w:cs="Times New Roman"/>
          <w:sz w:val="24"/>
          <w:szCs w:val="24"/>
        </w:rPr>
        <w:t xml:space="preserve"> egzamin dyplomowy i praca dyplomowa.</w:t>
      </w:r>
      <w:r w:rsidR="0013390A">
        <w:rPr>
          <w:rFonts w:ascii="Times New Roman" w:hAnsi="Times New Roman" w:cs="Times New Roman"/>
          <w:sz w:val="24"/>
          <w:szCs w:val="24"/>
        </w:rPr>
        <w:t xml:space="preserve"> Prac dyplomowa pisana jest pod kierunkiem wybranego promotora. Temat pracy dyplomowej jest zatwierdzany przez Radę Wydziału. Prac</w:t>
      </w:r>
      <w:r w:rsidR="00117E4C">
        <w:rPr>
          <w:rFonts w:ascii="Times New Roman" w:hAnsi="Times New Roman" w:cs="Times New Roman"/>
          <w:sz w:val="24"/>
          <w:szCs w:val="24"/>
        </w:rPr>
        <w:t>a</w:t>
      </w:r>
      <w:r w:rsidR="0013390A">
        <w:rPr>
          <w:rFonts w:ascii="Times New Roman" w:hAnsi="Times New Roman" w:cs="Times New Roman"/>
          <w:sz w:val="24"/>
          <w:szCs w:val="24"/>
        </w:rPr>
        <w:t xml:space="preserve"> poddawana jest recenzji. Elementem wieńczącym weryfikację </w:t>
      </w:r>
      <w:r w:rsidR="006C742A">
        <w:rPr>
          <w:rFonts w:ascii="Times New Roman" w:hAnsi="Times New Roman" w:cs="Times New Roman"/>
          <w:sz w:val="24"/>
          <w:szCs w:val="24"/>
        </w:rPr>
        <w:t>efektów kształcenia</w:t>
      </w:r>
      <w:r w:rsidR="0013390A">
        <w:rPr>
          <w:rFonts w:ascii="Times New Roman" w:hAnsi="Times New Roman" w:cs="Times New Roman"/>
          <w:sz w:val="24"/>
          <w:szCs w:val="24"/>
        </w:rPr>
        <w:t xml:space="preserve"> jest obrona pracy dyplomowej przed powołan</w:t>
      </w:r>
      <w:r w:rsidR="006C742A">
        <w:rPr>
          <w:rFonts w:ascii="Times New Roman" w:hAnsi="Times New Roman" w:cs="Times New Roman"/>
          <w:sz w:val="24"/>
          <w:szCs w:val="24"/>
        </w:rPr>
        <w:t>ą</w:t>
      </w:r>
      <w:r w:rsidR="0013390A">
        <w:rPr>
          <w:rFonts w:ascii="Times New Roman" w:hAnsi="Times New Roman" w:cs="Times New Roman"/>
          <w:sz w:val="24"/>
          <w:szCs w:val="24"/>
        </w:rPr>
        <w:t xml:space="preserve"> </w:t>
      </w:r>
      <w:r w:rsidR="006C742A">
        <w:rPr>
          <w:rFonts w:ascii="Times New Roman" w:hAnsi="Times New Roman" w:cs="Times New Roman"/>
          <w:sz w:val="24"/>
          <w:szCs w:val="24"/>
        </w:rPr>
        <w:t>przez</w:t>
      </w:r>
      <w:r w:rsidR="0013390A">
        <w:rPr>
          <w:rFonts w:ascii="Times New Roman" w:hAnsi="Times New Roman" w:cs="Times New Roman"/>
          <w:sz w:val="24"/>
          <w:szCs w:val="24"/>
        </w:rPr>
        <w:t xml:space="preserve"> </w:t>
      </w:r>
      <w:r w:rsidR="006C742A">
        <w:rPr>
          <w:rFonts w:ascii="Times New Roman" w:hAnsi="Times New Roman" w:cs="Times New Roman"/>
          <w:sz w:val="24"/>
          <w:szCs w:val="24"/>
        </w:rPr>
        <w:t>dziekana</w:t>
      </w:r>
      <w:r w:rsidR="0013390A">
        <w:rPr>
          <w:rFonts w:ascii="Times New Roman" w:hAnsi="Times New Roman" w:cs="Times New Roman"/>
          <w:sz w:val="24"/>
          <w:szCs w:val="24"/>
        </w:rPr>
        <w:t xml:space="preserve"> komisją egzaminacyjną w </w:t>
      </w:r>
      <w:proofErr w:type="gramStart"/>
      <w:r w:rsidR="0013390A">
        <w:rPr>
          <w:rFonts w:ascii="Times New Roman" w:hAnsi="Times New Roman" w:cs="Times New Roman"/>
          <w:sz w:val="24"/>
          <w:szCs w:val="24"/>
        </w:rPr>
        <w:t>skład której</w:t>
      </w:r>
      <w:proofErr w:type="gramEnd"/>
      <w:r w:rsidR="0013390A">
        <w:rPr>
          <w:rFonts w:ascii="Times New Roman" w:hAnsi="Times New Roman" w:cs="Times New Roman"/>
          <w:sz w:val="24"/>
          <w:szCs w:val="24"/>
        </w:rPr>
        <w:t xml:space="preserve"> wchodzi promotor, recenzent oraz przewodniczący komisji. Egzamin dyplomowy jest </w:t>
      </w:r>
      <w:r w:rsidR="006C742A">
        <w:rPr>
          <w:rFonts w:ascii="Times New Roman" w:hAnsi="Times New Roman" w:cs="Times New Roman"/>
          <w:sz w:val="24"/>
          <w:szCs w:val="24"/>
        </w:rPr>
        <w:t xml:space="preserve">przeprowadzany w formie ustnej, gdzie są zadawane </w:t>
      </w:r>
      <w:r w:rsidR="00117E4C">
        <w:rPr>
          <w:rFonts w:ascii="Times New Roman" w:hAnsi="Times New Roman" w:cs="Times New Roman"/>
          <w:sz w:val="24"/>
          <w:szCs w:val="24"/>
        </w:rPr>
        <w:t>dwa</w:t>
      </w:r>
      <w:r w:rsidR="006C742A">
        <w:rPr>
          <w:rFonts w:ascii="Times New Roman" w:hAnsi="Times New Roman" w:cs="Times New Roman"/>
          <w:sz w:val="24"/>
          <w:szCs w:val="24"/>
        </w:rPr>
        <w:t xml:space="preserve"> pytania. J</w:t>
      </w:r>
      <w:r w:rsidR="0013390A">
        <w:rPr>
          <w:rFonts w:ascii="Times New Roman" w:hAnsi="Times New Roman" w:cs="Times New Roman"/>
          <w:sz w:val="24"/>
          <w:szCs w:val="24"/>
        </w:rPr>
        <w:t xml:space="preserve">edno pytanie </w:t>
      </w:r>
      <w:r w:rsidR="0013390A">
        <w:rPr>
          <w:rFonts w:ascii="Times New Roman" w:hAnsi="Times New Roman" w:cs="Times New Roman"/>
          <w:sz w:val="24"/>
          <w:szCs w:val="24"/>
        </w:rPr>
        <w:lastRenderedPageBreak/>
        <w:t xml:space="preserve">dotyczy pracy dyplomowej natomiast </w:t>
      </w:r>
      <w:r w:rsidR="00117E4C">
        <w:rPr>
          <w:rFonts w:ascii="Times New Roman" w:hAnsi="Times New Roman" w:cs="Times New Roman"/>
          <w:sz w:val="24"/>
          <w:szCs w:val="24"/>
        </w:rPr>
        <w:t>drugie jest</w:t>
      </w:r>
      <w:r w:rsidR="0013390A">
        <w:rPr>
          <w:rFonts w:ascii="Times New Roman" w:hAnsi="Times New Roman" w:cs="Times New Roman"/>
          <w:sz w:val="24"/>
          <w:szCs w:val="24"/>
        </w:rPr>
        <w:t xml:space="preserve"> losowane z puli pytań </w:t>
      </w:r>
      <w:r w:rsidR="006C742A">
        <w:rPr>
          <w:rFonts w:ascii="Times New Roman" w:hAnsi="Times New Roman" w:cs="Times New Roman"/>
          <w:sz w:val="24"/>
          <w:szCs w:val="24"/>
        </w:rPr>
        <w:t>wynikających z programu studiów.</w:t>
      </w:r>
    </w:p>
    <w:sectPr w:rsidR="00BE2CA6" w:rsidRPr="00C328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54" w:rsidRDefault="00600454" w:rsidP="007B7116">
      <w:pPr>
        <w:spacing w:after="0" w:line="240" w:lineRule="auto"/>
      </w:pPr>
      <w:r>
        <w:separator/>
      </w:r>
    </w:p>
  </w:endnote>
  <w:endnote w:type="continuationSeparator" w:id="0">
    <w:p w:rsidR="00600454" w:rsidRDefault="00600454" w:rsidP="007B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54" w:rsidRDefault="00600454" w:rsidP="007700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54" w:rsidRDefault="00600454" w:rsidP="007B7116">
      <w:pPr>
        <w:spacing w:after="0" w:line="240" w:lineRule="auto"/>
      </w:pPr>
      <w:r>
        <w:separator/>
      </w:r>
    </w:p>
  </w:footnote>
  <w:footnote w:type="continuationSeparator" w:id="0">
    <w:p w:rsidR="00600454" w:rsidRDefault="00600454" w:rsidP="007B7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236"/>
    <w:multiLevelType w:val="hybridMultilevel"/>
    <w:tmpl w:val="28C8E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C52B5"/>
    <w:multiLevelType w:val="hybridMultilevel"/>
    <w:tmpl w:val="86F25CB6"/>
    <w:lvl w:ilvl="0" w:tplc="0415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">
    <w:nsid w:val="087D57C0"/>
    <w:multiLevelType w:val="hybridMultilevel"/>
    <w:tmpl w:val="AD7CEDD8"/>
    <w:lvl w:ilvl="0" w:tplc="393CFB0C">
      <w:start w:val="1"/>
      <w:numFmt w:val="decimal"/>
      <w:lvlText w:val="%1."/>
      <w:lvlJc w:val="left"/>
      <w:pPr>
        <w:tabs>
          <w:tab w:val="num" w:pos="730"/>
        </w:tabs>
        <w:ind w:left="728" w:hanging="106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">
    <w:nsid w:val="0EF61684"/>
    <w:multiLevelType w:val="hybridMultilevel"/>
    <w:tmpl w:val="F938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07FB"/>
    <w:multiLevelType w:val="hybridMultilevel"/>
    <w:tmpl w:val="C5D0333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D6432E0"/>
    <w:multiLevelType w:val="hybridMultilevel"/>
    <w:tmpl w:val="E1480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807D8A"/>
    <w:multiLevelType w:val="hybridMultilevel"/>
    <w:tmpl w:val="77463A96"/>
    <w:lvl w:ilvl="0" w:tplc="0BA06184">
      <w:start w:val="16"/>
      <w:numFmt w:val="decimal"/>
      <w:lvlText w:val="%1."/>
      <w:lvlJc w:val="left"/>
      <w:pPr>
        <w:ind w:left="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2A511B39"/>
    <w:multiLevelType w:val="hybridMultilevel"/>
    <w:tmpl w:val="0C98676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52306"/>
    <w:multiLevelType w:val="multilevel"/>
    <w:tmpl w:val="7964803A"/>
    <w:lvl w:ilvl="0">
      <w:start w:val="1"/>
      <w:numFmt w:val="decimal"/>
      <w:pStyle w:val="Nagwek1"/>
      <w:suff w:val="space"/>
      <w:lvlText w:val="%1."/>
      <w:lvlJc w:val="left"/>
      <w:pPr>
        <w:ind w:left="1021" w:hanging="624"/>
      </w:pPr>
      <w:rPr>
        <w:rFonts w:cs="Times New Roman"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361" w:hanging="964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9">
    <w:nsid w:val="46E328AF"/>
    <w:multiLevelType w:val="hybridMultilevel"/>
    <w:tmpl w:val="FFC266A6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4B8742C8"/>
    <w:multiLevelType w:val="hybridMultilevel"/>
    <w:tmpl w:val="6F602432"/>
    <w:lvl w:ilvl="0" w:tplc="11623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C29D6"/>
    <w:multiLevelType w:val="hybridMultilevel"/>
    <w:tmpl w:val="FFAE7F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BD67929"/>
    <w:multiLevelType w:val="hybridMultilevel"/>
    <w:tmpl w:val="264ED2F8"/>
    <w:lvl w:ilvl="0" w:tplc="9E62AE2A">
      <w:start w:val="14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3">
    <w:nsid w:val="64002CF7"/>
    <w:multiLevelType w:val="hybridMultilevel"/>
    <w:tmpl w:val="8D406F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1879BB"/>
    <w:multiLevelType w:val="hybridMultilevel"/>
    <w:tmpl w:val="A75625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9245AC8"/>
    <w:multiLevelType w:val="hybridMultilevel"/>
    <w:tmpl w:val="62D0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161EF"/>
    <w:multiLevelType w:val="hybridMultilevel"/>
    <w:tmpl w:val="93DE19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97D019F"/>
    <w:multiLevelType w:val="hybridMultilevel"/>
    <w:tmpl w:val="8D5C84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9A63F6"/>
    <w:multiLevelType w:val="hybridMultilevel"/>
    <w:tmpl w:val="27E61528"/>
    <w:lvl w:ilvl="0" w:tplc="29981502">
      <w:start w:val="1"/>
      <w:numFmt w:val="decimal"/>
      <w:suff w:val="space"/>
      <w:lvlText w:val="%1."/>
      <w:lvlJc w:val="left"/>
      <w:pPr>
        <w:ind w:left="3062" w:hanging="24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8"/>
  </w:num>
  <w:num w:numId="5">
    <w:abstractNumId w:val="11"/>
  </w:num>
  <w:num w:numId="6">
    <w:abstractNumId w:val="15"/>
  </w:num>
  <w:num w:numId="7">
    <w:abstractNumId w:val="13"/>
  </w:num>
  <w:num w:numId="8">
    <w:abstractNumId w:val="0"/>
  </w:num>
  <w:num w:numId="9">
    <w:abstractNumId w:val="7"/>
  </w:num>
  <w:num w:numId="10">
    <w:abstractNumId w:val="17"/>
  </w:num>
  <w:num w:numId="11">
    <w:abstractNumId w:val="14"/>
  </w:num>
  <w:num w:numId="12">
    <w:abstractNumId w:val="1"/>
  </w:num>
  <w:num w:numId="13">
    <w:abstractNumId w:val="16"/>
  </w:num>
  <w:num w:numId="14">
    <w:abstractNumId w:val="9"/>
  </w:num>
  <w:num w:numId="15">
    <w:abstractNumId w:val="3"/>
  </w:num>
  <w:num w:numId="16">
    <w:abstractNumId w:val="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0A"/>
    <w:rsid w:val="000248A5"/>
    <w:rsid w:val="000A683B"/>
    <w:rsid w:val="000C1B6D"/>
    <w:rsid w:val="000D0310"/>
    <w:rsid w:val="000D074E"/>
    <w:rsid w:val="00102AB2"/>
    <w:rsid w:val="00117E4C"/>
    <w:rsid w:val="00123513"/>
    <w:rsid w:val="0013390A"/>
    <w:rsid w:val="00134454"/>
    <w:rsid w:val="00141814"/>
    <w:rsid w:val="00161C52"/>
    <w:rsid w:val="00177631"/>
    <w:rsid w:val="00183AE4"/>
    <w:rsid w:val="001A1F70"/>
    <w:rsid w:val="00201EAF"/>
    <w:rsid w:val="00206268"/>
    <w:rsid w:val="002462DF"/>
    <w:rsid w:val="00275319"/>
    <w:rsid w:val="00283779"/>
    <w:rsid w:val="00284711"/>
    <w:rsid w:val="002A02C7"/>
    <w:rsid w:val="002C6071"/>
    <w:rsid w:val="00300F9C"/>
    <w:rsid w:val="00336A0B"/>
    <w:rsid w:val="00352526"/>
    <w:rsid w:val="003702C6"/>
    <w:rsid w:val="00383589"/>
    <w:rsid w:val="003A4570"/>
    <w:rsid w:val="003A688B"/>
    <w:rsid w:val="004140C5"/>
    <w:rsid w:val="00414C6C"/>
    <w:rsid w:val="0044484B"/>
    <w:rsid w:val="00455C13"/>
    <w:rsid w:val="004775CA"/>
    <w:rsid w:val="004A311A"/>
    <w:rsid w:val="004B1DE1"/>
    <w:rsid w:val="004B305C"/>
    <w:rsid w:val="004B5EE2"/>
    <w:rsid w:val="00503E38"/>
    <w:rsid w:val="00510AAE"/>
    <w:rsid w:val="005376E5"/>
    <w:rsid w:val="00554425"/>
    <w:rsid w:val="00555E3B"/>
    <w:rsid w:val="00566E23"/>
    <w:rsid w:val="00595581"/>
    <w:rsid w:val="005B192D"/>
    <w:rsid w:val="00600454"/>
    <w:rsid w:val="006C2DC8"/>
    <w:rsid w:val="006C742A"/>
    <w:rsid w:val="006D2FD0"/>
    <w:rsid w:val="006E17A2"/>
    <w:rsid w:val="006E3FF0"/>
    <w:rsid w:val="006F312E"/>
    <w:rsid w:val="00724C8A"/>
    <w:rsid w:val="0076138C"/>
    <w:rsid w:val="007700FC"/>
    <w:rsid w:val="00782014"/>
    <w:rsid w:val="00787988"/>
    <w:rsid w:val="007973AC"/>
    <w:rsid w:val="007B48DA"/>
    <w:rsid w:val="007B4C64"/>
    <w:rsid w:val="007B7116"/>
    <w:rsid w:val="007B7C7D"/>
    <w:rsid w:val="00841620"/>
    <w:rsid w:val="008512B4"/>
    <w:rsid w:val="0085133F"/>
    <w:rsid w:val="00852550"/>
    <w:rsid w:val="00854CC5"/>
    <w:rsid w:val="00885CB0"/>
    <w:rsid w:val="0089137F"/>
    <w:rsid w:val="008D2827"/>
    <w:rsid w:val="0099103F"/>
    <w:rsid w:val="00995256"/>
    <w:rsid w:val="009E27FA"/>
    <w:rsid w:val="00A00A2C"/>
    <w:rsid w:val="00A23B4B"/>
    <w:rsid w:val="00A52769"/>
    <w:rsid w:val="00A67247"/>
    <w:rsid w:val="00A8242F"/>
    <w:rsid w:val="00AA6DA2"/>
    <w:rsid w:val="00AD3B3F"/>
    <w:rsid w:val="00AD3DB4"/>
    <w:rsid w:val="00AF3478"/>
    <w:rsid w:val="00B06714"/>
    <w:rsid w:val="00B51437"/>
    <w:rsid w:val="00B53A93"/>
    <w:rsid w:val="00B70142"/>
    <w:rsid w:val="00B7197F"/>
    <w:rsid w:val="00B933F3"/>
    <w:rsid w:val="00B97CE2"/>
    <w:rsid w:val="00BA5881"/>
    <w:rsid w:val="00BB0A03"/>
    <w:rsid w:val="00BB449D"/>
    <w:rsid w:val="00BB4A5F"/>
    <w:rsid w:val="00BD6E71"/>
    <w:rsid w:val="00BE2CA6"/>
    <w:rsid w:val="00C2247C"/>
    <w:rsid w:val="00C328D0"/>
    <w:rsid w:val="00C6624A"/>
    <w:rsid w:val="00C93A17"/>
    <w:rsid w:val="00CF19A5"/>
    <w:rsid w:val="00D12E21"/>
    <w:rsid w:val="00D147F8"/>
    <w:rsid w:val="00D16FEB"/>
    <w:rsid w:val="00D56B77"/>
    <w:rsid w:val="00DB139C"/>
    <w:rsid w:val="00E21495"/>
    <w:rsid w:val="00E3421F"/>
    <w:rsid w:val="00E57AEB"/>
    <w:rsid w:val="00E65051"/>
    <w:rsid w:val="00E71DDF"/>
    <w:rsid w:val="00E7239A"/>
    <w:rsid w:val="00EA7A0A"/>
    <w:rsid w:val="00EF2E4B"/>
    <w:rsid w:val="00EF5AB6"/>
    <w:rsid w:val="00EF6280"/>
    <w:rsid w:val="00EF72A1"/>
    <w:rsid w:val="00F417AD"/>
    <w:rsid w:val="00F6170A"/>
    <w:rsid w:val="00F62FC3"/>
    <w:rsid w:val="00F673AD"/>
    <w:rsid w:val="00F95F42"/>
    <w:rsid w:val="00FB1F20"/>
    <w:rsid w:val="00FD6D89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Tytuł rozdziału"/>
    <w:basedOn w:val="Normalny"/>
    <w:next w:val="Normalny"/>
    <w:link w:val="Nagwek1Znak"/>
    <w:uiPriority w:val="99"/>
    <w:qFormat/>
    <w:rsid w:val="00DB139C"/>
    <w:pPr>
      <w:keepNext/>
      <w:numPr>
        <w:numId w:val="2"/>
      </w:numPr>
      <w:spacing w:before="240" w:after="60" w:line="36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styleId="Nagwek2">
    <w:name w:val="heading 2"/>
    <w:aliases w:val="Tytuł_podpunktu"/>
    <w:basedOn w:val="Normalny"/>
    <w:next w:val="Normalny"/>
    <w:link w:val="Nagwek2Znak"/>
    <w:uiPriority w:val="99"/>
    <w:qFormat/>
    <w:rsid w:val="00DB139C"/>
    <w:pPr>
      <w:keepNext/>
      <w:numPr>
        <w:ilvl w:val="1"/>
        <w:numId w:val="2"/>
      </w:numPr>
      <w:spacing w:before="120" w:after="120" w:line="360" w:lineRule="auto"/>
      <w:outlineLvl w:val="1"/>
    </w:pPr>
    <w:rPr>
      <w:rFonts w:ascii="Times New Roman" w:eastAsia="Times New Roman" w:hAnsi="Times New Roman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139C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A7A0A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EA7A0A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7973AC"/>
    <w:pPr>
      <w:ind w:left="720"/>
      <w:contextualSpacing/>
    </w:pPr>
  </w:style>
  <w:style w:type="character" w:customStyle="1" w:styleId="Nagwek1Znak">
    <w:name w:val="Nagłówek 1 Znak"/>
    <w:aliases w:val="Tytuł rozdziału Znak"/>
    <w:basedOn w:val="Domylnaczcionkaakapitu"/>
    <w:link w:val="Nagwek1"/>
    <w:uiPriority w:val="99"/>
    <w:rsid w:val="00DB139C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Nagwek2Znak">
    <w:name w:val="Nagłówek 2 Znak"/>
    <w:aliases w:val="Tytuł_podpunktu Znak"/>
    <w:basedOn w:val="Domylnaczcionkaakapitu"/>
    <w:link w:val="Nagwek2"/>
    <w:uiPriority w:val="99"/>
    <w:rsid w:val="00DB139C"/>
    <w:rPr>
      <w:rFonts w:ascii="Times New Roman" w:eastAsia="Times New Roman" w:hAnsi="Times New Roman" w:cs="Arial"/>
      <w:b/>
      <w:bCs/>
      <w:iCs/>
      <w:sz w:val="20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B139C"/>
    <w:rPr>
      <w:rFonts w:ascii="Arial" w:eastAsia="Times New Roman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B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B711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C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57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57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A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A2C"/>
  </w:style>
  <w:style w:type="paragraph" w:styleId="Stopka">
    <w:name w:val="footer"/>
    <w:basedOn w:val="Normalny"/>
    <w:link w:val="StopkaZnak"/>
    <w:uiPriority w:val="99"/>
    <w:unhideWhenUsed/>
    <w:rsid w:val="00A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A2C"/>
  </w:style>
  <w:style w:type="character" w:customStyle="1" w:styleId="CharacterStyle1">
    <w:name w:val="Character Style 1"/>
    <w:rsid w:val="00841620"/>
    <w:rPr>
      <w:rFonts w:ascii="Arial" w:hAnsi="Arial"/>
      <w:sz w:val="24"/>
    </w:rPr>
  </w:style>
  <w:style w:type="paragraph" w:styleId="NormalnyWeb">
    <w:name w:val="Normal (Web)"/>
    <w:basedOn w:val="Normalny"/>
    <w:rsid w:val="008416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AAE"/>
    <w:rPr>
      <w:color w:val="0000FF"/>
      <w:u w:val="single"/>
    </w:rPr>
  </w:style>
  <w:style w:type="paragraph" w:customStyle="1" w:styleId="Style3">
    <w:name w:val="Style3"/>
    <w:basedOn w:val="Normalny"/>
    <w:rsid w:val="006C2DC8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6">
    <w:name w:val="Pa6"/>
    <w:basedOn w:val="Normalny"/>
    <w:next w:val="Normalny"/>
    <w:rsid w:val="006C2DC8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8">
    <w:name w:val="Pa8"/>
    <w:basedOn w:val="Normalny"/>
    <w:next w:val="Normalny"/>
    <w:rsid w:val="006C2DC8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rsid w:val="006C2DC8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Tytuł rozdziału"/>
    <w:basedOn w:val="Normalny"/>
    <w:next w:val="Normalny"/>
    <w:link w:val="Nagwek1Znak"/>
    <w:uiPriority w:val="99"/>
    <w:qFormat/>
    <w:rsid w:val="00DB139C"/>
    <w:pPr>
      <w:keepNext/>
      <w:numPr>
        <w:numId w:val="2"/>
      </w:numPr>
      <w:spacing w:before="240" w:after="60" w:line="36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styleId="Nagwek2">
    <w:name w:val="heading 2"/>
    <w:aliases w:val="Tytuł_podpunktu"/>
    <w:basedOn w:val="Normalny"/>
    <w:next w:val="Normalny"/>
    <w:link w:val="Nagwek2Znak"/>
    <w:uiPriority w:val="99"/>
    <w:qFormat/>
    <w:rsid w:val="00DB139C"/>
    <w:pPr>
      <w:keepNext/>
      <w:numPr>
        <w:ilvl w:val="1"/>
        <w:numId w:val="2"/>
      </w:numPr>
      <w:spacing w:before="120" w:after="120" w:line="360" w:lineRule="auto"/>
      <w:outlineLvl w:val="1"/>
    </w:pPr>
    <w:rPr>
      <w:rFonts w:ascii="Times New Roman" w:eastAsia="Times New Roman" w:hAnsi="Times New Roman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139C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A7A0A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EA7A0A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7973AC"/>
    <w:pPr>
      <w:ind w:left="720"/>
      <w:contextualSpacing/>
    </w:pPr>
  </w:style>
  <w:style w:type="character" w:customStyle="1" w:styleId="Nagwek1Znak">
    <w:name w:val="Nagłówek 1 Znak"/>
    <w:aliases w:val="Tytuł rozdziału Znak"/>
    <w:basedOn w:val="Domylnaczcionkaakapitu"/>
    <w:link w:val="Nagwek1"/>
    <w:uiPriority w:val="99"/>
    <w:rsid w:val="00DB139C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Nagwek2Znak">
    <w:name w:val="Nagłówek 2 Znak"/>
    <w:aliases w:val="Tytuł_podpunktu Znak"/>
    <w:basedOn w:val="Domylnaczcionkaakapitu"/>
    <w:link w:val="Nagwek2"/>
    <w:uiPriority w:val="99"/>
    <w:rsid w:val="00DB139C"/>
    <w:rPr>
      <w:rFonts w:ascii="Times New Roman" w:eastAsia="Times New Roman" w:hAnsi="Times New Roman" w:cs="Arial"/>
      <w:b/>
      <w:bCs/>
      <w:iCs/>
      <w:sz w:val="20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B139C"/>
    <w:rPr>
      <w:rFonts w:ascii="Arial" w:eastAsia="Times New Roman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B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B711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C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57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57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A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A2C"/>
  </w:style>
  <w:style w:type="paragraph" w:styleId="Stopka">
    <w:name w:val="footer"/>
    <w:basedOn w:val="Normalny"/>
    <w:link w:val="StopkaZnak"/>
    <w:uiPriority w:val="99"/>
    <w:unhideWhenUsed/>
    <w:rsid w:val="00A0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A2C"/>
  </w:style>
  <w:style w:type="character" w:customStyle="1" w:styleId="CharacterStyle1">
    <w:name w:val="Character Style 1"/>
    <w:rsid w:val="00841620"/>
    <w:rPr>
      <w:rFonts w:ascii="Arial" w:hAnsi="Arial"/>
      <w:sz w:val="24"/>
    </w:rPr>
  </w:style>
  <w:style w:type="paragraph" w:styleId="NormalnyWeb">
    <w:name w:val="Normal (Web)"/>
    <w:basedOn w:val="Normalny"/>
    <w:rsid w:val="008416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AAE"/>
    <w:rPr>
      <w:color w:val="0000FF"/>
      <w:u w:val="single"/>
    </w:rPr>
  </w:style>
  <w:style w:type="paragraph" w:customStyle="1" w:styleId="Style3">
    <w:name w:val="Style3"/>
    <w:basedOn w:val="Normalny"/>
    <w:rsid w:val="006C2DC8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6">
    <w:name w:val="Pa6"/>
    <w:basedOn w:val="Normalny"/>
    <w:next w:val="Normalny"/>
    <w:rsid w:val="006C2DC8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8">
    <w:name w:val="Pa8"/>
    <w:basedOn w:val="Normalny"/>
    <w:next w:val="Normalny"/>
    <w:rsid w:val="006C2DC8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rsid w:val="006C2DC8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2AE3-1FAB-4541-85FD-BF542018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4649</Words>
  <Characters>27897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Żelazowska</dc:creator>
  <cp:lastModifiedBy>Monika Żelazowska</cp:lastModifiedBy>
  <cp:revision>2</cp:revision>
  <cp:lastPrinted>2019-03-29T13:49:00Z</cp:lastPrinted>
  <dcterms:created xsi:type="dcterms:W3CDTF">2019-06-02T07:04:00Z</dcterms:created>
  <dcterms:modified xsi:type="dcterms:W3CDTF">2019-06-02T07:04:00Z</dcterms:modified>
</cp:coreProperties>
</file>